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7C08" w14:textId="77777777" w:rsidR="006F2EBB" w:rsidRPr="0068638F" w:rsidRDefault="006F2EBB" w:rsidP="006F2EBB">
      <w:pPr>
        <w:spacing w:after="80" w:line="264" w:lineRule="auto"/>
        <w:ind w:left="0" w:right="0" w:firstLine="0"/>
        <w:jc w:val="center"/>
        <w:rPr>
          <w:rFonts w:ascii="Futura" w:eastAsia="MS Mincho" w:hAnsi="Futura" w:cs="Futura"/>
          <w:b/>
          <w:bCs/>
          <w:color w:val="auto"/>
          <w:sz w:val="24"/>
          <w:szCs w:val="24"/>
          <w:lang w:val="en-US"/>
        </w:rPr>
      </w:pPr>
      <w:r w:rsidRPr="0068638F">
        <w:rPr>
          <w:rFonts w:ascii="Futura" w:eastAsia="MS Mincho" w:hAnsi="Futura" w:cs="Futura"/>
          <w:b/>
          <w:bCs/>
          <w:color w:val="auto"/>
          <w:sz w:val="24"/>
          <w:szCs w:val="24"/>
          <w:lang w:val="en-US"/>
        </w:rPr>
        <w:t>SCHEDULE 15</w:t>
      </w:r>
    </w:p>
    <w:p w14:paraId="7CD62A80" w14:textId="77777777" w:rsidR="006F2EBB" w:rsidRPr="0068638F" w:rsidRDefault="006F2EBB" w:rsidP="006F2EBB">
      <w:pPr>
        <w:spacing w:after="80" w:line="264" w:lineRule="auto"/>
        <w:ind w:left="0" w:right="0" w:firstLine="0"/>
        <w:jc w:val="center"/>
        <w:rPr>
          <w:rFonts w:ascii="Futura" w:eastAsia="MS Mincho" w:hAnsi="Futura" w:cs="Futura"/>
          <w:b/>
          <w:bCs/>
          <w:color w:val="auto"/>
          <w:sz w:val="24"/>
          <w:szCs w:val="24"/>
          <w:lang w:val="en-US"/>
        </w:rPr>
      </w:pPr>
      <w:r w:rsidRPr="0068638F">
        <w:rPr>
          <w:rFonts w:ascii="Futura" w:eastAsia="MS Mincho" w:hAnsi="Futura" w:cs="Futura"/>
          <w:b/>
          <w:bCs/>
          <w:color w:val="auto"/>
          <w:sz w:val="24"/>
          <w:szCs w:val="24"/>
          <w:lang w:val="en-US"/>
        </w:rPr>
        <w:t>STANDARD TECHNICAL CONDITIONS, HOSTING CAPACITY INFORMATION, AND SHORT-FORM SYSTEM IMPACT STUDY CONFIRMATION FOR ELIGIBLE INTERCONNECTED SOLAR PV AND BATTERY MINI-GRIDS</w:t>
      </w:r>
    </w:p>
    <w:p w14:paraId="3F296A69" w14:textId="77777777" w:rsidR="006F2EBB" w:rsidRPr="0068638F" w:rsidRDefault="006F2EBB" w:rsidP="006F2EBB">
      <w:pPr>
        <w:spacing w:after="80" w:line="264" w:lineRule="auto"/>
        <w:ind w:left="0" w:right="0" w:firstLine="0"/>
        <w:jc w:val="center"/>
        <w:rPr>
          <w:rFonts w:ascii="Futura" w:eastAsia="MS Mincho" w:hAnsi="Futura" w:cs="Futura"/>
          <w:i/>
          <w:iCs/>
          <w:color w:val="auto"/>
          <w:sz w:val="24"/>
          <w:szCs w:val="24"/>
          <w:lang w:val="en-US"/>
        </w:rPr>
      </w:pPr>
      <w:r w:rsidRPr="0068638F">
        <w:rPr>
          <w:rFonts w:ascii="Futura" w:eastAsia="MS Mincho" w:hAnsi="Futura" w:cs="Futura"/>
          <w:i/>
          <w:iCs/>
          <w:color w:val="auto"/>
          <w:sz w:val="24"/>
          <w:szCs w:val="24"/>
          <w:lang w:val="en-US"/>
        </w:rPr>
        <w:t>To form part of the Mini-Grid Regulations, 2026</w:t>
      </w:r>
    </w:p>
    <w:p w14:paraId="32E40600" w14:textId="77777777" w:rsidR="006F2EBB" w:rsidRPr="0068638F" w:rsidRDefault="006F2EBB" w:rsidP="006F2EBB">
      <w:pPr>
        <w:spacing w:after="80" w:line="264" w:lineRule="auto"/>
        <w:ind w:left="0" w:right="0" w:firstLine="0"/>
        <w:jc w:val="center"/>
        <w:rPr>
          <w:rFonts w:ascii="Futura" w:eastAsia="MS Mincho" w:hAnsi="Futura" w:cs="Futura"/>
          <w:i/>
          <w:iCs/>
          <w:color w:val="auto"/>
          <w:sz w:val="24"/>
          <w:szCs w:val="24"/>
          <w:lang w:val="en-US"/>
        </w:rPr>
      </w:pPr>
    </w:p>
    <w:p w14:paraId="70C70F41" w14:textId="77777777" w:rsidR="006F2EBB" w:rsidRPr="0068638F" w:rsidRDefault="006F2EBB" w:rsidP="006F2EBB">
      <w:pPr>
        <w:spacing w:after="80" w:line="264" w:lineRule="auto"/>
        <w:ind w:left="0" w:right="0" w:firstLine="0"/>
        <w:rPr>
          <w:rFonts w:ascii="Futura" w:eastAsia="MS Mincho" w:hAnsi="Futura" w:cs="Futura"/>
          <w:b/>
          <w:bCs/>
          <w:color w:val="auto"/>
          <w:sz w:val="24"/>
          <w:szCs w:val="24"/>
          <w:lang w:val="en-US"/>
        </w:rPr>
      </w:pPr>
      <w:r w:rsidRPr="0068638F">
        <w:rPr>
          <w:rFonts w:ascii="Futura" w:eastAsia="MS Mincho" w:hAnsi="Futura" w:cs="Futura"/>
          <w:b/>
          <w:bCs/>
          <w:color w:val="auto"/>
          <w:sz w:val="24"/>
          <w:szCs w:val="24"/>
          <w:lang w:val="en-US"/>
        </w:rPr>
        <w:t>1. Purpose and Application</w:t>
      </w:r>
    </w:p>
    <w:p w14:paraId="1FA127FA" w14:textId="54CFDA16" w:rsidR="006F2EBB" w:rsidRPr="0068638F" w:rsidRDefault="002B3B9F" w:rsidP="002B3B9F">
      <w:pPr>
        <w:spacing w:after="80" w:line="264" w:lineRule="auto"/>
        <w:ind w:left="720" w:right="0" w:hanging="578"/>
        <w:rPr>
          <w:rFonts w:ascii="Futura" w:eastAsia="MS Mincho" w:hAnsi="Futura" w:cs="Futura"/>
          <w:color w:val="auto"/>
          <w:sz w:val="24"/>
          <w:szCs w:val="24"/>
          <w:lang w:val="en-US"/>
        </w:rPr>
      </w:pPr>
      <w:r>
        <w:rPr>
          <w:rFonts w:ascii="Futura" w:eastAsia="MS Mincho" w:hAnsi="Futura" w:cs="Futura"/>
          <w:color w:val="auto"/>
          <w:sz w:val="24"/>
          <w:szCs w:val="24"/>
          <w:lang w:val="en-US"/>
        </w:rPr>
        <w:t xml:space="preserve">  </w:t>
      </w:r>
      <w:r w:rsidR="006F2EBB" w:rsidRPr="0068638F">
        <w:rPr>
          <w:rFonts w:ascii="Futura" w:eastAsia="MS Mincho" w:hAnsi="Futura" w:cs="Futura"/>
          <w:color w:val="auto"/>
          <w:sz w:val="24"/>
          <w:szCs w:val="24"/>
          <w:lang w:val="en-US"/>
        </w:rPr>
        <w:t>1.1 This Schedule prescribes the standard technical conditions applicable to an eligible interconnected solar photovoltaic and battery mini-grid seeking to rely on the simplified interconnection pathway under section 9 of the Mini Grid Regulations 2026.</w:t>
      </w:r>
    </w:p>
    <w:p w14:paraId="048762F0"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1.2 This Schedule applies only to interconnected mini-grids based on solar photovoltaic generation and battery energy storage systems, including a project transitioning from isolated to interconnected status where the project seeks to rely on the Short-Form SIS pathway.</w:t>
      </w:r>
    </w:p>
    <w:p w14:paraId="58EB3EBE"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1.3 This Schedule does not displace the need for compliance with applicable health and safety requirements, environmental screening, metering, inspection, commissioning, </w:t>
      </w:r>
      <w:proofErr w:type="spellStart"/>
      <w:r w:rsidRPr="0068638F">
        <w:rPr>
          <w:rFonts w:ascii="Futura" w:eastAsia="MS Mincho" w:hAnsi="Futura" w:cs="Futura"/>
          <w:color w:val="auto"/>
          <w:sz w:val="24"/>
          <w:szCs w:val="24"/>
          <w:lang w:val="en-US"/>
        </w:rPr>
        <w:t>energisation</w:t>
      </w:r>
      <w:proofErr w:type="spellEnd"/>
      <w:r w:rsidRPr="0068638F">
        <w:rPr>
          <w:rFonts w:ascii="Futura" w:eastAsia="MS Mincho" w:hAnsi="Futura" w:cs="Futura"/>
          <w:color w:val="auto"/>
          <w:sz w:val="24"/>
          <w:szCs w:val="24"/>
          <w:lang w:val="en-US"/>
        </w:rPr>
        <w:t xml:space="preserve"> approval, or any other applicable requirement under the Mini Grid Regulations 2026 or any relevant code.</w:t>
      </w:r>
    </w:p>
    <w:p w14:paraId="53D2E9A5"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1.4 Nothing in this Schedule creates deemed </w:t>
      </w:r>
      <w:proofErr w:type="spellStart"/>
      <w:r w:rsidRPr="0068638F">
        <w:rPr>
          <w:rFonts w:ascii="Futura" w:eastAsia="MS Mincho" w:hAnsi="Futura" w:cs="Futura"/>
          <w:color w:val="auto"/>
          <w:sz w:val="24"/>
          <w:szCs w:val="24"/>
          <w:lang w:val="en-US"/>
        </w:rPr>
        <w:t>energisation</w:t>
      </w:r>
      <w:proofErr w:type="spellEnd"/>
      <w:r w:rsidRPr="0068638F">
        <w:rPr>
          <w:rFonts w:ascii="Futura" w:eastAsia="MS Mincho" w:hAnsi="Futura" w:cs="Futura"/>
          <w:color w:val="auto"/>
          <w:sz w:val="24"/>
          <w:szCs w:val="24"/>
          <w:lang w:val="en-US"/>
        </w:rPr>
        <w:t xml:space="preserve"> approval, deemed safety clearance, or waiver of any applicable technical requirement.</w:t>
      </w:r>
    </w:p>
    <w:p w14:paraId="5D5A4AFD"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2. Interpretation</w:t>
      </w:r>
    </w:p>
    <w:p w14:paraId="6BFBA2E6" w14:textId="77777777" w:rsidR="006F2EBB" w:rsidRPr="0068638F" w:rsidRDefault="006F2EBB" w:rsidP="00861932">
      <w:pPr>
        <w:spacing w:after="80" w:line="264" w:lineRule="auto"/>
        <w:ind w:left="720" w:right="0" w:hanging="578"/>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2.1 In this Schedule, unless the context otherwise requires—</w:t>
      </w:r>
    </w:p>
    <w:p w14:paraId="2FA54D56" w14:textId="77777777" w:rsidR="006F2EBB" w:rsidRPr="0068638F" w:rsidRDefault="006F2EBB" w:rsidP="00861932">
      <w:pPr>
        <w:spacing w:after="80" w:line="264" w:lineRule="auto"/>
        <w:ind w:left="0" w:right="0" w:hanging="142"/>
        <w:rPr>
          <w:rFonts w:ascii="Futura" w:eastAsia="MS Mincho" w:hAnsi="Futura" w:cs="Futura"/>
          <w:color w:val="auto"/>
          <w:sz w:val="24"/>
          <w:szCs w:val="24"/>
          <w:lang w:val="en-US"/>
        </w:rPr>
      </w:pPr>
      <w:r w:rsidRPr="00C91614">
        <w:rPr>
          <w:rFonts w:ascii="Futura" w:eastAsia="MS Mincho" w:hAnsi="Futura" w:cs="Futura"/>
          <w:i/>
          <w:iCs/>
          <w:color w:val="auto"/>
          <w:sz w:val="24"/>
          <w:szCs w:val="24"/>
          <w:lang w:val="en-US"/>
        </w:rPr>
        <w:t>“</w:t>
      </w:r>
      <w:r w:rsidRPr="00C91614">
        <w:rPr>
          <w:rFonts w:ascii="Futura" w:eastAsia="MS Mincho" w:hAnsi="Futura" w:cs="Futura"/>
          <w:b/>
          <w:bCs/>
          <w:i/>
          <w:iCs/>
          <w:color w:val="auto"/>
          <w:sz w:val="24"/>
          <w:szCs w:val="24"/>
          <w:lang w:val="en-US"/>
        </w:rPr>
        <w:t>Battery energy storage system”</w:t>
      </w:r>
      <w:r w:rsidRPr="0068638F">
        <w:rPr>
          <w:rFonts w:ascii="Futura" w:eastAsia="MS Mincho" w:hAnsi="Futura" w:cs="Futura"/>
          <w:color w:val="auto"/>
          <w:sz w:val="24"/>
          <w:szCs w:val="24"/>
          <w:lang w:val="en-US"/>
        </w:rPr>
        <w:t xml:space="preserve"> or “BESS” means a battery-based electricity storage system including the battery cells, battery management system, inverter or converter, and associated protection, control, and isolation </w:t>
      </w:r>
      <w:proofErr w:type="gramStart"/>
      <w:r w:rsidRPr="0068638F">
        <w:rPr>
          <w:rFonts w:ascii="Futura" w:eastAsia="MS Mincho" w:hAnsi="Futura" w:cs="Futura"/>
          <w:color w:val="auto"/>
          <w:sz w:val="24"/>
          <w:szCs w:val="24"/>
          <w:lang w:val="en-US"/>
        </w:rPr>
        <w:t>equipment;</w:t>
      </w:r>
      <w:proofErr w:type="gramEnd"/>
    </w:p>
    <w:p w14:paraId="7394B8C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“Eligible project”</w:t>
      </w:r>
      <w:r w:rsidRPr="0068638F">
        <w:rPr>
          <w:rFonts w:ascii="Futura" w:eastAsia="MS Mincho" w:hAnsi="Futura" w:cs="Futura"/>
          <w:color w:val="auto"/>
          <w:sz w:val="24"/>
          <w:szCs w:val="24"/>
          <w:lang w:val="en-US"/>
        </w:rPr>
        <w:t xml:space="preserve"> means a proposed interconnected solar photovoltaic and battery mini-grid that satisfies the qualifying conditions in this Schedule and may therefore rely on a Short-Form SIS </w:t>
      </w:r>
      <w:proofErr w:type="gramStart"/>
      <w:r w:rsidRPr="0068638F">
        <w:rPr>
          <w:rFonts w:ascii="Futura" w:eastAsia="MS Mincho" w:hAnsi="Futura" w:cs="Futura"/>
          <w:color w:val="auto"/>
          <w:sz w:val="24"/>
          <w:szCs w:val="24"/>
          <w:lang w:val="en-US"/>
        </w:rPr>
        <w:t>Confirmation;</w:t>
      </w:r>
      <w:proofErr w:type="gramEnd"/>
    </w:p>
    <w:p w14:paraId="2B8190A6"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“Hosting Capacity Information”</w:t>
      </w:r>
      <w:r w:rsidRPr="0068638F">
        <w:rPr>
          <w:rFonts w:ascii="Futura" w:eastAsia="MS Mincho" w:hAnsi="Futura" w:cs="Futura"/>
          <w:color w:val="auto"/>
          <w:sz w:val="24"/>
          <w:szCs w:val="24"/>
          <w:lang w:val="en-US"/>
        </w:rPr>
        <w:t xml:space="preserve"> or “HCI” has the meaning assigned to it in the Mini Grid Regulations </w:t>
      </w:r>
      <w:proofErr w:type="gramStart"/>
      <w:r w:rsidRPr="0068638F">
        <w:rPr>
          <w:rFonts w:ascii="Futura" w:eastAsia="MS Mincho" w:hAnsi="Futura" w:cs="Futura"/>
          <w:color w:val="auto"/>
          <w:sz w:val="24"/>
          <w:szCs w:val="24"/>
          <w:lang w:val="en-US"/>
        </w:rPr>
        <w:t>2026;</w:t>
      </w:r>
      <w:proofErr w:type="gramEnd"/>
    </w:p>
    <w:p w14:paraId="2496E89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“Managed export project”</w:t>
      </w:r>
      <w:r w:rsidRPr="0068638F">
        <w:rPr>
          <w:rFonts w:ascii="Futura" w:eastAsia="MS Mincho" w:hAnsi="Futura" w:cs="Futura"/>
          <w:color w:val="auto"/>
          <w:sz w:val="24"/>
          <w:szCs w:val="24"/>
          <w:lang w:val="en-US"/>
        </w:rPr>
        <w:t xml:space="preserve"> means an eligible project permitted to export electricity at the PCC subject to dynamic or time-varying limits, communications, or control instructions approved by the </w:t>
      </w:r>
      <w:proofErr w:type="gramStart"/>
      <w:r w:rsidRPr="0068638F">
        <w:rPr>
          <w:rFonts w:ascii="Futura" w:eastAsia="MS Mincho" w:hAnsi="Futura" w:cs="Futura"/>
          <w:color w:val="auto"/>
          <w:sz w:val="24"/>
          <w:szCs w:val="24"/>
          <w:lang w:val="en-US"/>
        </w:rPr>
        <w:t>Commission;</w:t>
      </w:r>
      <w:proofErr w:type="gramEnd"/>
    </w:p>
    <w:p w14:paraId="4C65390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“Limited export project”</w:t>
      </w:r>
      <w:r w:rsidRPr="0068638F">
        <w:rPr>
          <w:rFonts w:ascii="Futura" w:eastAsia="MS Mincho" w:hAnsi="Futura" w:cs="Futura"/>
          <w:color w:val="auto"/>
          <w:sz w:val="24"/>
          <w:szCs w:val="24"/>
          <w:lang w:val="en-US"/>
        </w:rPr>
        <w:t xml:space="preserve"> means an eligible project permitted to export electricity at the PCC up to a fixed approved export </w:t>
      </w:r>
      <w:proofErr w:type="gramStart"/>
      <w:r w:rsidRPr="0068638F">
        <w:rPr>
          <w:rFonts w:ascii="Futura" w:eastAsia="MS Mincho" w:hAnsi="Futura" w:cs="Futura"/>
          <w:color w:val="auto"/>
          <w:sz w:val="24"/>
          <w:szCs w:val="24"/>
          <w:lang w:val="en-US"/>
        </w:rPr>
        <w:t>limit;</w:t>
      </w:r>
      <w:proofErr w:type="gramEnd"/>
    </w:p>
    <w:p w14:paraId="624A85E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lastRenderedPageBreak/>
        <w:t>“non-export project”</w:t>
      </w:r>
      <w:r w:rsidRPr="0068638F">
        <w:rPr>
          <w:rFonts w:ascii="Futura" w:eastAsia="MS Mincho" w:hAnsi="Futura" w:cs="Futura"/>
          <w:color w:val="auto"/>
          <w:sz w:val="24"/>
          <w:szCs w:val="24"/>
          <w:lang w:val="en-US"/>
        </w:rPr>
        <w:t xml:space="preserve"> means an eligible project that may import electricity from the Distribution Licensee </w:t>
      </w:r>
      <w:proofErr w:type="gramStart"/>
      <w:r w:rsidRPr="0068638F">
        <w:rPr>
          <w:rFonts w:ascii="Futura" w:eastAsia="MS Mincho" w:hAnsi="Futura" w:cs="Futura"/>
          <w:color w:val="auto"/>
          <w:sz w:val="24"/>
          <w:szCs w:val="24"/>
          <w:lang w:val="en-US"/>
        </w:rPr>
        <w:t>where</w:t>
      </w:r>
      <w:proofErr w:type="gramEnd"/>
      <w:r w:rsidRPr="0068638F">
        <w:rPr>
          <w:rFonts w:ascii="Futura" w:eastAsia="MS Mincho" w:hAnsi="Futura" w:cs="Futura"/>
          <w:color w:val="auto"/>
          <w:sz w:val="24"/>
          <w:szCs w:val="24"/>
          <w:lang w:val="en-US"/>
        </w:rPr>
        <w:t xml:space="preserve"> permitted but is not </w:t>
      </w:r>
      <w:proofErr w:type="spellStart"/>
      <w:r w:rsidRPr="0068638F">
        <w:rPr>
          <w:rFonts w:ascii="Futura" w:eastAsia="MS Mincho" w:hAnsi="Futura" w:cs="Futura"/>
          <w:color w:val="auto"/>
          <w:sz w:val="24"/>
          <w:szCs w:val="24"/>
          <w:lang w:val="en-US"/>
        </w:rPr>
        <w:t>authorised</w:t>
      </w:r>
      <w:proofErr w:type="spellEnd"/>
      <w:r w:rsidRPr="0068638F">
        <w:rPr>
          <w:rFonts w:ascii="Futura" w:eastAsia="MS Mincho" w:hAnsi="Futura" w:cs="Futura"/>
          <w:color w:val="auto"/>
          <w:sz w:val="24"/>
          <w:szCs w:val="24"/>
          <w:lang w:val="en-US"/>
        </w:rPr>
        <w:t xml:space="preserve"> to export electricity into the Distribution Licensee’s network during normal operation except to the extent expressly permitted for testing, meter tolerance, or transient </w:t>
      </w:r>
      <w:proofErr w:type="gramStart"/>
      <w:r w:rsidRPr="0068638F">
        <w:rPr>
          <w:rFonts w:ascii="Futura" w:eastAsia="MS Mincho" w:hAnsi="Futura" w:cs="Futura"/>
          <w:color w:val="auto"/>
          <w:sz w:val="24"/>
          <w:szCs w:val="24"/>
          <w:lang w:val="en-US"/>
        </w:rPr>
        <w:t>events;</w:t>
      </w:r>
      <w:proofErr w:type="gramEnd"/>
    </w:p>
    <w:p w14:paraId="5FFFFB7B" w14:textId="0B567B13"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C91614">
        <w:rPr>
          <w:rFonts w:ascii="Futura" w:eastAsia="MS Mincho" w:hAnsi="Futura" w:cs="Futura"/>
          <w:b/>
          <w:bCs/>
          <w:i/>
          <w:iCs/>
          <w:color w:val="auto"/>
          <w:sz w:val="24"/>
          <w:szCs w:val="24"/>
          <w:lang w:val="en-US"/>
        </w:rPr>
        <w:t>“Short-Form System Impact Study Confirmation</w:t>
      </w:r>
      <w:r w:rsidRPr="00C91614">
        <w:rPr>
          <w:rFonts w:ascii="Futura" w:eastAsia="MS Mincho" w:hAnsi="Futura" w:cs="Futura"/>
          <w:b/>
          <w:bCs/>
          <w:color w:val="auto"/>
          <w:sz w:val="24"/>
          <w:szCs w:val="24"/>
          <w:lang w:val="en-US"/>
        </w:rPr>
        <w:t>”</w:t>
      </w:r>
      <w:r w:rsidRPr="0068638F">
        <w:rPr>
          <w:rFonts w:ascii="Futura" w:eastAsia="MS Mincho" w:hAnsi="Futura" w:cs="Futura"/>
          <w:color w:val="auto"/>
          <w:sz w:val="24"/>
          <w:szCs w:val="24"/>
          <w:lang w:val="en-US"/>
        </w:rPr>
        <w:t xml:space="preserve"> means the standard written confirmation, in the form prescribed in this Schedule or otherwise approved by the Commission, confirming that an eligible project satisfies the simplified interconnection pathway based on </w:t>
      </w:r>
      <w:r w:rsidR="00262908" w:rsidRPr="0068638F">
        <w:rPr>
          <w:rFonts w:ascii="Futura" w:eastAsia="MS Mincho" w:hAnsi="Futura" w:cs="Futura"/>
          <w:color w:val="auto"/>
          <w:sz w:val="24"/>
          <w:szCs w:val="24"/>
          <w:lang w:val="en-US"/>
        </w:rPr>
        <w:t xml:space="preserve">applicable </w:t>
      </w:r>
      <w:r w:rsidR="00262908" w:rsidRPr="0068638F">
        <w:rPr>
          <w:rFonts w:ascii="Futura" w:hAnsi="Futura" w:cs="Futura"/>
          <w:color w:val="auto"/>
          <w:sz w:val="24"/>
          <w:szCs w:val="24"/>
        </w:rPr>
        <w:t>Hosting</w:t>
      </w:r>
      <w:r w:rsidRPr="0068638F">
        <w:rPr>
          <w:rFonts w:ascii="Futura" w:hAnsi="Futura" w:cs="Futura"/>
          <w:sz w:val="24"/>
          <w:szCs w:val="24"/>
        </w:rPr>
        <w:t xml:space="preserve"> Capacity Information</w:t>
      </w:r>
      <w:r w:rsidRPr="0068638F">
        <w:rPr>
          <w:rFonts w:ascii="Futura" w:eastAsia="MS Mincho" w:hAnsi="Futura" w:cs="Futura"/>
          <w:color w:val="auto"/>
          <w:sz w:val="24"/>
          <w:szCs w:val="24"/>
          <w:lang w:val="en-US"/>
        </w:rPr>
        <w:t xml:space="preserve">, the </w:t>
      </w:r>
      <w:r w:rsidR="00262908">
        <w:rPr>
          <w:rFonts w:ascii="Futura" w:eastAsia="MS Mincho" w:hAnsi="Futura" w:cs="Futura"/>
          <w:color w:val="auto"/>
          <w:sz w:val="24"/>
          <w:szCs w:val="24"/>
          <w:lang w:val="en-US"/>
        </w:rPr>
        <w:t>project's</w:t>
      </w:r>
      <w:r w:rsidRPr="0068638F">
        <w:rPr>
          <w:rFonts w:ascii="Futura" w:eastAsia="MS Mincho" w:hAnsi="Futura" w:cs="Futura"/>
          <w:color w:val="auto"/>
          <w:sz w:val="24"/>
          <w:szCs w:val="24"/>
          <w:lang w:val="en-US"/>
        </w:rPr>
        <w:t xml:space="preserve"> single-line diagram, and conformity with the standard technical conditions in this Schedule.</w:t>
      </w:r>
    </w:p>
    <w:p w14:paraId="7A5F949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3. General Principles</w:t>
      </w:r>
    </w:p>
    <w:p w14:paraId="3FD46F2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3.1 Proportionality: the level of technical review shall reflect the size, technology, export </w:t>
      </w:r>
      <w:proofErr w:type="spellStart"/>
      <w:r w:rsidRPr="0068638F">
        <w:rPr>
          <w:rFonts w:ascii="Futura" w:eastAsia="MS Mincho" w:hAnsi="Futura" w:cs="Futura"/>
          <w:color w:val="auto"/>
          <w:sz w:val="24"/>
          <w:szCs w:val="24"/>
          <w:lang w:val="en-US"/>
        </w:rPr>
        <w:t>behaviour</w:t>
      </w:r>
      <w:proofErr w:type="spellEnd"/>
      <w:r w:rsidRPr="0068638F">
        <w:rPr>
          <w:rFonts w:ascii="Futura" w:eastAsia="MS Mincho" w:hAnsi="Futura" w:cs="Futura"/>
          <w:color w:val="auto"/>
          <w:sz w:val="24"/>
          <w:szCs w:val="24"/>
          <w:lang w:val="en-US"/>
        </w:rPr>
        <w:t>, and system risk of the project.</w:t>
      </w:r>
    </w:p>
    <w:p w14:paraId="53B9D0D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3.2 </w:t>
      </w:r>
      <w:proofErr w:type="gramStart"/>
      <w:r w:rsidRPr="0068638F">
        <w:rPr>
          <w:rFonts w:ascii="Futura" w:eastAsia="MS Mincho" w:hAnsi="Futura" w:cs="Futura"/>
          <w:color w:val="auto"/>
          <w:sz w:val="24"/>
          <w:szCs w:val="24"/>
          <w:lang w:val="en-US"/>
        </w:rPr>
        <w:t>Non-discrimination</w:t>
      </w:r>
      <w:proofErr w:type="gramEnd"/>
      <w:r w:rsidRPr="0068638F">
        <w:rPr>
          <w:rFonts w:ascii="Futura" w:eastAsia="MS Mincho" w:hAnsi="Futura" w:cs="Futura"/>
          <w:color w:val="auto"/>
          <w:sz w:val="24"/>
          <w:szCs w:val="24"/>
          <w:lang w:val="en-US"/>
        </w:rPr>
        <w:t>: equivalent projects on equivalent feeders should be subject to equivalent technical treatment.</w:t>
      </w:r>
    </w:p>
    <w:p w14:paraId="1A8C8FA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3.3 Feeder transparency</w:t>
      </w:r>
      <w:proofErr w:type="gramStart"/>
      <w:r w:rsidRPr="0068638F">
        <w:rPr>
          <w:rFonts w:ascii="Futura" w:eastAsia="MS Mincho" w:hAnsi="Futura" w:cs="Futura"/>
          <w:color w:val="auto"/>
          <w:sz w:val="24"/>
          <w:szCs w:val="24"/>
          <w:lang w:val="en-US"/>
        </w:rPr>
        <w:t xml:space="preserve">: </w:t>
      </w:r>
      <w:r w:rsidRPr="0068638F">
        <w:rPr>
          <w:rFonts w:ascii="Futura" w:hAnsi="Futura" w:cs="Futura"/>
          <w:color w:val="auto"/>
          <w:sz w:val="24"/>
          <w:szCs w:val="24"/>
        </w:rPr>
        <w:t xml:space="preserve"> </w:t>
      </w:r>
      <w:r w:rsidRPr="0068638F">
        <w:rPr>
          <w:rFonts w:ascii="Futura" w:hAnsi="Futura" w:cs="Futura"/>
          <w:sz w:val="24"/>
          <w:szCs w:val="24"/>
        </w:rPr>
        <w:t>Hosting</w:t>
      </w:r>
      <w:proofErr w:type="gramEnd"/>
      <w:r w:rsidRPr="0068638F">
        <w:rPr>
          <w:rFonts w:ascii="Futura" w:hAnsi="Futura" w:cs="Futura"/>
          <w:sz w:val="24"/>
          <w:szCs w:val="24"/>
        </w:rPr>
        <w:t xml:space="preserve"> Capacity Information</w:t>
      </w:r>
      <w:r w:rsidRPr="0068638F">
        <w:rPr>
          <w:rFonts w:ascii="Futura" w:eastAsia="MS Mincho" w:hAnsi="Futura" w:cs="Futura"/>
          <w:color w:val="auto"/>
          <w:sz w:val="24"/>
          <w:szCs w:val="24"/>
          <w:lang w:val="en-US"/>
        </w:rPr>
        <w:t xml:space="preserve"> should be sufficiently informative to permit developers to assess likely eligibility before full application.</w:t>
      </w:r>
    </w:p>
    <w:p w14:paraId="1D6F0C0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3.4 Safety first: no simplified pathway shall compromise safety, protection coordination, or the integrity of the affected network.</w:t>
      </w:r>
    </w:p>
    <w:p w14:paraId="482E0C2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3.5 PCC discipline: the PCC is the technical and commercial boundary for interconnection review, metering, and settlement.</w:t>
      </w:r>
    </w:p>
    <w:p w14:paraId="29957F0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3.6 Nigerian market realism: this Schedule </w:t>
      </w:r>
      <w:proofErr w:type="spellStart"/>
      <w:r w:rsidRPr="0068638F">
        <w:rPr>
          <w:rFonts w:ascii="Futura" w:eastAsia="MS Mincho" w:hAnsi="Futura" w:cs="Futura"/>
          <w:color w:val="auto"/>
          <w:sz w:val="24"/>
          <w:szCs w:val="24"/>
          <w:lang w:val="en-US"/>
        </w:rPr>
        <w:t>recognises</w:t>
      </w:r>
      <w:proofErr w:type="spellEnd"/>
      <w:r w:rsidRPr="0068638F">
        <w:rPr>
          <w:rFonts w:ascii="Futura" w:eastAsia="MS Mincho" w:hAnsi="Futura" w:cs="Futura"/>
          <w:color w:val="auto"/>
          <w:sz w:val="24"/>
          <w:szCs w:val="24"/>
          <w:lang w:val="en-US"/>
        </w:rPr>
        <w:t xml:space="preserve"> stressed feeders, variable data quality, routine outages, and the need for simple but robust connection standards in Nigeria.</w:t>
      </w:r>
    </w:p>
    <w:p w14:paraId="6735F15F"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 Eligibility for the Short-Form System Impact Study Pathway</w:t>
      </w:r>
    </w:p>
    <w:p w14:paraId="1B79C991"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4.1 A project may rely on the simplified pathway only where all the conditions in this paragraph are satisfied.</w:t>
      </w:r>
    </w:p>
    <w:p w14:paraId="2A36836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4.2 The project shall be inverter-based and shall not rely on synchronous generation operating in parallel with the Distribution Licensee’s network under the simplified pathway unless specifically </w:t>
      </w:r>
      <w:proofErr w:type="spellStart"/>
      <w:r w:rsidRPr="0068638F">
        <w:rPr>
          <w:rFonts w:ascii="Futura" w:eastAsia="MS Mincho" w:hAnsi="Futura" w:cs="Futura"/>
          <w:color w:val="auto"/>
          <w:sz w:val="24"/>
          <w:szCs w:val="24"/>
          <w:lang w:val="en-US"/>
        </w:rPr>
        <w:t>authorised</w:t>
      </w:r>
      <w:proofErr w:type="spellEnd"/>
      <w:r w:rsidRPr="0068638F">
        <w:rPr>
          <w:rFonts w:ascii="Futura" w:eastAsia="MS Mincho" w:hAnsi="Futura" w:cs="Futura"/>
          <w:color w:val="auto"/>
          <w:sz w:val="24"/>
          <w:szCs w:val="24"/>
          <w:lang w:val="en-US"/>
        </w:rPr>
        <w:t xml:space="preserve"> by the Commission.</w:t>
      </w:r>
    </w:p>
    <w:p w14:paraId="085C34C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4.3 The project shall have one clearly identified PCC and shall connect through a radial feeder arrangement.</w:t>
      </w:r>
    </w:p>
    <w:p w14:paraId="546183C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4.4 The </w:t>
      </w:r>
      <w:proofErr w:type="gramStart"/>
      <w:r w:rsidRPr="0068638F">
        <w:rPr>
          <w:rFonts w:ascii="Futura" w:eastAsia="MS Mincho" w:hAnsi="Futura" w:cs="Futura"/>
          <w:color w:val="auto"/>
          <w:sz w:val="24"/>
          <w:szCs w:val="24"/>
          <w:lang w:val="en-US"/>
        </w:rPr>
        <w:t xml:space="preserve">applicable </w:t>
      </w:r>
      <w:r w:rsidRPr="0068638F">
        <w:rPr>
          <w:rFonts w:ascii="Futura" w:hAnsi="Futura" w:cs="Futura"/>
          <w:color w:val="auto"/>
          <w:sz w:val="24"/>
          <w:szCs w:val="24"/>
        </w:rPr>
        <w:t xml:space="preserve"> </w:t>
      </w:r>
      <w:r w:rsidRPr="0068638F">
        <w:rPr>
          <w:rFonts w:ascii="Futura" w:hAnsi="Futura" w:cs="Futura"/>
          <w:sz w:val="24"/>
          <w:szCs w:val="24"/>
        </w:rPr>
        <w:t>Hosting</w:t>
      </w:r>
      <w:proofErr w:type="gramEnd"/>
      <w:r w:rsidRPr="0068638F">
        <w:rPr>
          <w:rFonts w:ascii="Futura" w:hAnsi="Futura" w:cs="Futura"/>
          <w:sz w:val="24"/>
          <w:szCs w:val="24"/>
        </w:rPr>
        <w:t xml:space="preserve"> Capacity Information</w:t>
      </w:r>
      <w:r w:rsidRPr="0068638F">
        <w:rPr>
          <w:rFonts w:ascii="Futura" w:eastAsia="MS Mincho" w:hAnsi="Futura" w:cs="Futura"/>
          <w:color w:val="auto"/>
          <w:sz w:val="24"/>
          <w:szCs w:val="24"/>
          <w:lang w:val="en-US"/>
        </w:rPr>
        <w:t xml:space="preserve"> shall show sufficient available capacity for the proposed import profile and, where relevant, export profile at the PCC.</w:t>
      </w:r>
    </w:p>
    <w:p w14:paraId="3C08EF5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4.5 The project shall conform to the applicable operating mode and standard technical conditions prescribed in this Schedule.</w:t>
      </w:r>
    </w:p>
    <w:p w14:paraId="3DD3919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4.6 The project shall not require major network reinforcement, meshed-network studies, or complex protection redesign beyond the standard protection package and minor connection works.</w:t>
      </w:r>
    </w:p>
    <w:p w14:paraId="7885EACE"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4.7 The project shall provide a single-line diagram, equipment schedule, protection schedule, metering arrangement, and site layout sufficient to confirm conformance with this Schedule.</w:t>
      </w:r>
    </w:p>
    <w:p w14:paraId="448DD89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4.8 The Commission or the Distribution Licensee may require a full SIS notwithstanding apparent eligibility where feeder conditions, power quality, protection, reverse power flow, or operational coordination risks are not adequately addressed by the simplified pathway.</w:t>
      </w:r>
    </w:p>
    <w:p w14:paraId="10BA3D1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5. Operating Modes for Eligible Projects</w:t>
      </w:r>
    </w:p>
    <w:p w14:paraId="53C5A1D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5.1 An eligible project shall operate in one, and only </w:t>
      </w:r>
      <w:proofErr w:type="gramStart"/>
      <w:r w:rsidRPr="0068638F">
        <w:rPr>
          <w:rFonts w:ascii="Futura" w:eastAsia="MS Mincho" w:hAnsi="Futura" w:cs="Futura"/>
          <w:color w:val="auto"/>
          <w:sz w:val="24"/>
          <w:szCs w:val="24"/>
          <w:lang w:val="en-US"/>
        </w:rPr>
        <w:t>one,</w:t>
      </w:r>
      <w:proofErr w:type="gramEnd"/>
      <w:r w:rsidRPr="0068638F">
        <w:rPr>
          <w:rFonts w:ascii="Futura" w:eastAsia="MS Mincho" w:hAnsi="Futura" w:cs="Futura"/>
          <w:color w:val="auto"/>
          <w:sz w:val="24"/>
          <w:szCs w:val="24"/>
          <w:lang w:val="en-US"/>
        </w:rPr>
        <w:t xml:space="preserve"> of the following operating modes:</w:t>
      </w:r>
    </w:p>
    <w:p w14:paraId="5FDDDDA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(a) Non-Export Interconnected </w:t>
      </w:r>
      <w:proofErr w:type="gramStart"/>
      <w:r w:rsidRPr="0068638F">
        <w:rPr>
          <w:rFonts w:ascii="Futura" w:eastAsia="MS Mincho" w:hAnsi="Futura" w:cs="Futura"/>
          <w:color w:val="auto"/>
          <w:sz w:val="24"/>
          <w:szCs w:val="24"/>
          <w:lang w:val="en-US"/>
        </w:rPr>
        <w:t>Project;</w:t>
      </w:r>
      <w:proofErr w:type="gramEnd"/>
    </w:p>
    <w:p w14:paraId="5D8D9D9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(b) Limited Export Interconnected </w:t>
      </w:r>
      <w:proofErr w:type="gramStart"/>
      <w:r w:rsidRPr="0068638F">
        <w:rPr>
          <w:rFonts w:ascii="Futura" w:eastAsia="MS Mincho" w:hAnsi="Futura" w:cs="Futura"/>
          <w:color w:val="auto"/>
          <w:sz w:val="24"/>
          <w:szCs w:val="24"/>
          <w:lang w:val="en-US"/>
        </w:rPr>
        <w:t>Project;</w:t>
      </w:r>
      <w:proofErr w:type="gramEnd"/>
    </w:p>
    <w:p w14:paraId="1CE2C99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(c) Managed Export Interconnected Project.</w:t>
      </w:r>
    </w:p>
    <w:p w14:paraId="435BD69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5.2 A non-export project may use solar photovoltaic generation and battery storage to serve its customers and may import electricity from the Distribution Licensee where permitted, but it shall not export electricity to the Distribution Licensee’s network during normal operation.</w:t>
      </w:r>
    </w:p>
    <w:p w14:paraId="3543E53A" w14:textId="68586BE0"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5.3 A limited export project may supply its own customers and may export electricity to the Distribution Licensee’s network only up to the fixed approved export limit stated in </w:t>
      </w:r>
      <w:r w:rsidR="00E22918" w:rsidRPr="0068638F">
        <w:rPr>
          <w:rFonts w:ascii="Futura" w:eastAsia="MS Mincho" w:hAnsi="Futura" w:cs="Futura"/>
          <w:color w:val="auto"/>
          <w:sz w:val="24"/>
          <w:szCs w:val="24"/>
          <w:lang w:val="en-US"/>
        </w:rPr>
        <w:t xml:space="preserve">the </w:t>
      </w:r>
      <w:r w:rsidR="00E22918" w:rsidRPr="0068638F">
        <w:rPr>
          <w:rFonts w:ascii="Futura" w:hAnsi="Futura" w:cs="Futura"/>
          <w:color w:val="auto"/>
          <w:sz w:val="24"/>
          <w:szCs w:val="24"/>
        </w:rPr>
        <w:t>Hosting</w:t>
      </w:r>
      <w:r w:rsidRPr="0068638F">
        <w:rPr>
          <w:rFonts w:ascii="Futura" w:hAnsi="Futura" w:cs="Futura"/>
          <w:sz w:val="24"/>
          <w:szCs w:val="24"/>
        </w:rPr>
        <w:t xml:space="preserve"> Capacity Information</w:t>
      </w:r>
      <w:r w:rsidRPr="0068638F">
        <w:rPr>
          <w:rFonts w:ascii="Futura" w:eastAsia="MS Mincho" w:hAnsi="Futura" w:cs="Futura"/>
          <w:color w:val="auto"/>
          <w:sz w:val="24"/>
          <w:szCs w:val="24"/>
          <w:lang w:val="en-US"/>
        </w:rPr>
        <w:t>, permit, Tripartite Agreement, or Commission direction.</w:t>
      </w:r>
    </w:p>
    <w:p w14:paraId="08BDA669"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5.4 A managed export project may export electricity to the Distribution Licensee’s network subject to dynamic or time-varying limits, communications requirements, or operating instructions approved for the relevant feeder.</w:t>
      </w:r>
    </w:p>
    <w:p w14:paraId="6EA5B06E"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5.5 The approved operating mode of the project shall be stated in the permit, the Short-Form SIS Confirmation, and the Technical and Commercial Annex in Schedule 10.</w:t>
      </w:r>
    </w:p>
    <w:p w14:paraId="656E6531"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 General Technical Conditions Applicable to All Eligible Projects</w:t>
      </w:r>
    </w:p>
    <w:p w14:paraId="572D051B"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6.1 The technical, ownership, protection, metering, and commercial boundary at the PCC shall be clearly identified and reflected in the single-line diagram and Tripartite Agreement.</w:t>
      </w:r>
    </w:p>
    <w:p w14:paraId="7529C3C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 xml:space="preserve">6.2 The simplified pathway assumes a radial feeder arrangement. Projects involving looped or meshed network effects shall be </w:t>
      </w:r>
      <w:proofErr w:type="gramStart"/>
      <w:r w:rsidRPr="0068638F">
        <w:rPr>
          <w:rFonts w:ascii="Futura" w:eastAsia="MS Mincho" w:hAnsi="Futura" w:cs="Futura"/>
          <w:color w:val="auto"/>
          <w:sz w:val="24"/>
          <w:szCs w:val="24"/>
          <w:lang w:val="en-US"/>
        </w:rPr>
        <w:t>referred</w:t>
      </w:r>
      <w:proofErr w:type="gramEnd"/>
      <w:r w:rsidRPr="0068638F">
        <w:rPr>
          <w:rFonts w:ascii="Futura" w:eastAsia="MS Mincho" w:hAnsi="Futura" w:cs="Futura"/>
          <w:color w:val="auto"/>
          <w:sz w:val="24"/>
          <w:szCs w:val="24"/>
          <w:lang w:val="en-US"/>
        </w:rPr>
        <w:t xml:space="preserve"> for a fuller study.</w:t>
      </w:r>
    </w:p>
    <w:p w14:paraId="5E47D95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6.3 Inverter-based resources shall use equipment listed or certified to </w:t>
      </w:r>
      <w:proofErr w:type="spellStart"/>
      <w:r w:rsidRPr="0068638F">
        <w:rPr>
          <w:rFonts w:ascii="Futura" w:eastAsia="MS Mincho" w:hAnsi="Futura" w:cs="Futura"/>
          <w:color w:val="auto"/>
          <w:sz w:val="24"/>
          <w:szCs w:val="24"/>
          <w:lang w:val="en-US"/>
        </w:rPr>
        <w:t>recognised</w:t>
      </w:r>
      <w:proofErr w:type="spellEnd"/>
      <w:r w:rsidRPr="0068638F">
        <w:rPr>
          <w:rFonts w:ascii="Futura" w:eastAsia="MS Mincho" w:hAnsi="Futura" w:cs="Futura"/>
          <w:color w:val="auto"/>
          <w:sz w:val="24"/>
          <w:szCs w:val="24"/>
          <w:lang w:val="en-US"/>
        </w:rPr>
        <w:t xml:space="preserve"> standards acceptable to the Commission or the competent inspection authority and shall be capable of anti-islanding and such voltage, frequency, reactive power, ramp-rate, and communications functions as may be required for the relevant operating mode.</w:t>
      </w:r>
    </w:p>
    <w:p w14:paraId="0569E62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6.4 The project shall be designed not to cause unacceptable harmonics, flicker, voltage unbalance, or rapid voltage change at the PCC and shall comply with applicable limits in the Distribution Code and manufacturer-recommended operating ranges.</w:t>
      </w:r>
    </w:p>
    <w:p w14:paraId="4AAF303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6.5 The project shall include the minimum protection package in Appendix 1 and any project-specific settings directed by the Distribution Licensee or approved by the Commission.</w:t>
      </w:r>
    </w:p>
    <w:p w14:paraId="3DD8D9B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6.6 Import and export metering at the PCC shall comply with the Metering Code, the interconnection agreement, and any applicable commercial methodology.</w:t>
      </w:r>
    </w:p>
    <w:p w14:paraId="4324018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6.7 The operator shall nominate control and maintenance contacts and comply with outage-notification and emergency-isolation arrangements agreed under the Tripartite Agreement.</w:t>
      </w:r>
    </w:p>
    <w:p w14:paraId="575AF0DB"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 Minimum Protection, Metering, and Communications Requirements</w:t>
      </w:r>
    </w:p>
    <w:p w14:paraId="56D6DB79"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7.1 At a minimum, the interconnection shall provide over-voltage, under-voltage, over-frequency, under-frequency, anti-islanding, overcurrent or earth-fault protection, and an isolating device capable of safe disconnection at or near the PCC.</w:t>
      </w:r>
    </w:p>
    <w:p w14:paraId="0BAE899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7.2 Where export is permitted, the project shall include control logic and settings sufficient to respect approved export limits, prevent unstable reverse power flow, and coordinate with the feeder protection philosophy.</w:t>
      </w:r>
    </w:p>
    <w:p w14:paraId="41E187D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7.3 Protection settings shall be submitted in the Short-Form PCC Confirmation and shall be subject to validation by the Distribution Licensee.</w:t>
      </w:r>
    </w:p>
    <w:p w14:paraId="042584C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7.4 The Distribution Licensee shall provide PCC metering adequate for import measurement and, where applicable, export measurement.</w:t>
      </w:r>
    </w:p>
    <w:p w14:paraId="2E644E5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7.5 Export-enabled projects shall provide interval data sufficient for settlement and operational review.</w:t>
      </w:r>
    </w:p>
    <w:p w14:paraId="591E3D5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7.6 The Mini-Grid operator may install a check meter, but the primary meter for settlement shall be the approved PCC meter unless otherwise approved by the Commission.</w:t>
      </w:r>
    </w:p>
    <w:p w14:paraId="7824155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 xml:space="preserve">7.7 </w:t>
      </w:r>
      <w:proofErr w:type="gramStart"/>
      <w:r w:rsidRPr="0068638F">
        <w:rPr>
          <w:rFonts w:ascii="Futura" w:eastAsia="MS Mincho" w:hAnsi="Futura" w:cs="Futura"/>
          <w:color w:val="auto"/>
          <w:sz w:val="24"/>
          <w:szCs w:val="24"/>
          <w:lang w:val="en-US"/>
        </w:rPr>
        <w:t>Non-export</w:t>
      </w:r>
      <w:proofErr w:type="gramEnd"/>
      <w:r w:rsidRPr="0068638F">
        <w:rPr>
          <w:rFonts w:ascii="Futura" w:eastAsia="MS Mincho" w:hAnsi="Futura" w:cs="Futura"/>
          <w:color w:val="auto"/>
          <w:sz w:val="24"/>
          <w:szCs w:val="24"/>
          <w:lang w:val="en-US"/>
        </w:rPr>
        <w:t xml:space="preserve"> projects shall require only basic contact and alarm arrangements unless the Commission directs otherwise.</w:t>
      </w:r>
    </w:p>
    <w:p w14:paraId="1B5453B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7.8 Limited export projects shall require remote visibility of PCC meter data, breaker status, and plant availability alarms.</w:t>
      </w:r>
    </w:p>
    <w:p w14:paraId="0D1BB57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7.9 Managed export </w:t>
      </w:r>
      <w:proofErr w:type="gramStart"/>
      <w:r w:rsidRPr="0068638F">
        <w:rPr>
          <w:rFonts w:ascii="Futura" w:eastAsia="MS Mincho" w:hAnsi="Futura" w:cs="Futura"/>
          <w:color w:val="auto"/>
          <w:sz w:val="24"/>
          <w:szCs w:val="24"/>
          <w:lang w:val="en-US"/>
        </w:rPr>
        <w:t>projects shall</w:t>
      </w:r>
      <w:proofErr w:type="gramEnd"/>
      <w:r w:rsidRPr="0068638F">
        <w:rPr>
          <w:rFonts w:ascii="Futura" w:eastAsia="MS Mincho" w:hAnsi="Futura" w:cs="Futura"/>
          <w:color w:val="auto"/>
          <w:sz w:val="24"/>
          <w:szCs w:val="24"/>
          <w:lang w:val="en-US"/>
        </w:rPr>
        <w:t xml:space="preserve"> require enhanced communications, including remote setting capability, event logs, and telemetry reasonably necessary for safe operation.</w:t>
      </w:r>
    </w:p>
    <w:p w14:paraId="7B0CB1D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8. Battery-Specific Requirements</w:t>
      </w:r>
    </w:p>
    <w:p w14:paraId="310EDC9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8.1 The battery system shall include a battery management system, emergency isolation arrangement, manufacturer-approved operating limits, and fault or alarm indication.</w:t>
      </w:r>
    </w:p>
    <w:p w14:paraId="22309CB1"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8.2 Battery rooms or enclosures shall comply with applicable health and safety, ventilation, fire, earthing, labelling, and emergency-response requirements under the Mini Grid Regulations 2026 and any applicable inspection requirement.</w:t>
      </w:r>
    </w:p>
    <w:p w14:paraId="3DF7E90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8.3 The project shall submit the battery datasheet, operating envelope, short-circuit contribution statement where relevant, and control philosophy for charge and discharge relative to import and export </w:t>
      </w:r>
      <w:proofErr w:type="spellStart"/>
      <w:r w:rsidRPr="0068638F">
        <w:rPr>
          <w:rFonts w:ascii="Futura" w:eastAsia="MS Mincho" w:hAnsi="Futura" w:cs="Futura"/>
          <w:color w:val="auto"/>
          <w:sz w:val="24"/>
          <w:szCs w:val="24"/>
          <w:lang w:val="en-US"/>
        </w:rPr>
        <w:t>behaviour</w:t>
      </w:r>
      <w:proofErr w:type="spellEnd"/>
      <w:r w:rsidRPr="0068638F">
        <w:rPr>
          <w:rFonts w:ascii="Futura" w:eastAsia="MS Mincho" w:hAnsi="Futura" w:cs="Futura"/>
          <w:color w:val="auto"/>
          <w:sz w:val="24"/>
          <w:szCs w:val="24"/>
          <w:lang w:val="en-US"/>
        </w:rPr>
        <w:t xml:space="preserve"> at the PCC.</w:t>
      </w:r>
    </w:p>
    <w:p w14:paraId="6AB26F6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8.4 For export-enabled projects, the battery dispatch logic shall be described clearly enough to enable the Distribution Licensee and the Commission to understand whether the battery is intended for backup, energy shifting, peak support, export shaping, or multiple functions.</w:t>
      </w:r>
    </w:p>
    <w:p w14:paraId="5A68AA6B"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9. Hosting Capacity Information and Minimum Data Requirements</w:t>
      </w:r>
    </w:p>
    <w:p w14:paraId="7C5EA934" w14:textId="4045C062"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9.1 The</w:t>
      </w:r>
      <w:r w:rsidRPr="0068638F">
        <w:rPr>
          <w:rFonts w:ascii="Futura" w:hAnsi="Futura" w:cs="Futura"/>
          <w:color w:val="auto"/>
          <w:sz w:val="24"/>
          <w:szCs w:val="24"/>
        </w:rPr>
        <w:t xml:space="preserve">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shall be feeder-level information published by the Distribution Licensee in the form approved by the Commission.</w:t>
      </w:r>
    </w:p>
    <w:p w14:paraId="568E240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9.2 In addition to the minimum fields required by the Mini Grid Regulations 2026, the Distribution Licensee should, where available, publish the date of issue, date of last update, feeder status, indicative import capacity, indicative export headroom, major known deficiencies, and any standard conditions or exclusions relevant to interconnection on that feeder.</w:t>
      </w:r>
    </w:p>
    <w:p w14:paraId="26090F5D" w14:textId="6BEF855F"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9.3 The </w:t>
      </w:r>
      <w:r w:rsidRPr="0068638F">
        <w:rPr>
          <w:rFonts w:ascii="Futura" w:hAnsi="Futura" w:cs="Futura"/>
          <w:sz w:val="24"/>
          <w:szCs w:val="24"/>
        </w:rPr>
        <w:t xml:space="preserve">Hosting Capacity </w:t>
      </w:r>
      <w:r w:rsidR="001E4598">
        <w:rPr>
          <w:rFonts w:ascii="Futura" w:hAnsi="Futura" w:cs="Futura"/>
          <w:sz w:val="24"/>
          <w:szCs w:val="24"/>
        </w:rPr>
        <w:t>Information remains</w:t>
      </w:r>
      <w:r w:rsidRPr="0068638F">
        <w:rPr>
          <w:rFonts w:ascii="Futura" w:eastAsia="MS Mincho" w:hAnsi="Futura" w:cs="Futura"/>
          <w:color w:val="auto"/>
          <w:sz w:val="24"/>
          <w:szCs w:val="24"/>
          <w:lang w:val="en-US"/>
        </w:rPr>
        <w:t xml:space="preserve"> indicative only and does not, by itself, create a right to connect. However, where such information is published and remains current, it shall be the primary basis for determining whether the simplified pathway is available.</w:t>
      </w:r>
    </w:p>
    <w:p w14:paraId="449F2F1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10. Short-Form System Impact Study Confirmation</w:t>
      </w:r>
    </w:p>
    <w:p w14:paraId="29DD4F3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10.1 The Short-Form System Impact Study Confirmation is a structured engineering and regulatory declaration that the proposed project conforms to the applicable </w:t>
      </w:r>
      <w:r w:rsidRPr="0068638F">
        <w:rPr>
          <w:rFonts w:ascii="Futura" w:eastAsia="MS Mincho" w:hAnsi="Futura" w:cs="Futura"/>
          <w:color w:val="auto"/>
          <w:sz w:val="24"/>
          <w:szCs w:val="24"/>
          <w:lang w:val="en-US"/>
        </w:rPr>
        <w:lastRenderedPageBreak/>
        <w:t xml:space="preserve">operating </w:t>
      </w:r>
      <w:proofErr w:type="gramStart"/>
      <w:r w:rsidRPr="0068638F">
        <w:rPr>
          <w:rFonts w:ascii="Futura" w:eastAsia="MS Mincho" w:hAnsi="Futura" w:cs="Futura"/>
          <w:color w:val="auto"/>
          <w:sz w:val="24"/>
          <w:szCs w:val="24"/>
          <w:lang w:val="en-US"/>
        </w:rPr>
        <w:t>mode</w:t>
      </w:r>
      <w:proofErr w:type="gramEnd"/>
      <w:r w:rsidRPr="0068638F">
        <w:rPr>
          <w:rFonts w:ascii="Futura" w:eastAsia="MS Mincho" w:hAnsi="Futura" w:cs="Futura"/>
          <w:color w:val="auto"/>
          <w:sz w:val="24"/>
          <w:szCs w:val="24"/>
          <w:lang w:val="en-US"/>
        </w:rPr>
        <w:t xml:space="preserve"> and that feeder-level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supports the requested interconnection.</w:t>
      </w:r>
    </w:p>
    <w:p w14:paraId="2A34684A"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10.2 The Short-Form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Confirmation shall be signed by a competent person designated by the mini-grid developer and agreeable to the Distribution </w:t>
      </w:r>
      <w:proofErr w:type="gramStart"/>
      <w:r w:rsidRPr="0068638F">
        <w:rPr>
          <w:rFonts w:ascii="Futura" w:eastAsia="MS Mincho" w:hAnsi="Futura" w:cs="Futura"/>
          <w:color w:val="auto"/>
          <w:sz w:val="24"/>
          <w:szCs w:val="24"/>
          <w:lang w:val="en-US"/>
        </w:rPr>
        <w:t>Licensee, and</w:t>
      </w:r>
      <w:proofErr w:type="gramEnd"/>
      <w:r w:rsidRPr="0068638F">
        <w:rPr>
          <w:rFonts w:ascii="Futura" w:eastAsia="MS Mincho" w:hAnsi="Futura" w:cs="Futura"/>
          <w:color w:val="auto"/>
          <w:sz w:val="24"/>
          <w:szCs w:val="24"/>
          <w:lang w:val="en-US"/>
        </w:rPr>
        <w:t xml:space="preserve"> accompanied by the documents listed in Appendix 2.</w:t>
      </w:r>
    </w:p>
    <w:p w14:paraId="3791B606"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10.3 The Distribution Licensee shall review the Short-Form System Impact Study Confirmation only to the extent necessary to determine whether the project conforms to this Schedule, whether the</w:t>
      </w:r>
      <w:r w:rsidRPr="0068638F">
        <w:rPr>
          <w:rFonts w:ascii="Futura" w:hAnsi="Futura" w:cs="Futura"/>
          <w:color w:val="auto"/>
          <w:sz w:val="24"/>
          <w:szCs w:val="24"/>
        </w:rPr>
        <w:t xml:space="preserve">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supports the interconnection, and whether any limited project-specific condition or rectification is required.</w:t>
      </w:r>
    </w:p>
    <w:p w14:paraId="6C00E78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10.4 The Short-Form System Impact Study Confirmation shall contain, at minimum, the project identity, location, feeder and PCC reference, technology description, installed capacities, single-line diagram, site layout, protection schedule, metering arrangement, declared import and export mode, evidence that the </w:t>
      </w:r>
      <w:r w:rsidRPr="0068638F">
        <w:rPr>
          <w:rFonts w:ascii="Futura" w:hAnsi="Futura" w:cs="Futura"/>
          <w:color w:val="auto"/>
          <w:sz w:val="24"/>
          <w:szCs w:val="24"/>
        </w:rPr>
        <w:t xml:space="preserve"> </w:t>
      </w:r>
      <w:r w:rsidRPr="0068638F">
        <w:rPr>
          <w:rFonts w:ascii="Futura" w:hAnsi="Futura" w:cs="Futura"/>
          <w:sz w:val="24"/>
          <w:szCs w:val="24"/>
        </w:rPr>
        <w:t>Hosting Capacity Information</w:t>
      </w:r>
      <w:r w:rsidRPr="0068638F">
        <w:rPr>
          <w:rFonts w:ascii="Futura" w:eastAsia="MS Mincho" w:hAnsi="Futura" w:cs="Futura"/>
          <w:color w:val="auto"/>
          <w:sz w:val="24"/>
          <w:szCs w:val="24"/>
          <w:lang w:val="en-US"/>
        </w:rPr>
        <w:t xml:space="preserve"> remains current for the feeder, and a declaration of compliance with this Schedule and the Distribution Code.</w:t>
      </w:r>
    </w:p>
    <w:p w14:paraId="79BF471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11. Cases Requiring a Full System Impact Study</w:t>
      </w:r>
    </w:p>
    <w:p w14:paraId="3A1617FD"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11.1 A full System Impact Study shall be required where any of the following applies:</w:t>
      </w:r>
    </w:p>
    <w:p w14:paraId="7CA3236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(a) the project has multiple PCC or a materially complex feeder </w:t>
      </w:r>
      <w:proofErr w:type="gramStart"/>
      <w:r w:rsidRPr="0068638F">
        <w:rPr>
          <w:rFonts w:ascii="Futura" w:eastAsia="MS Mincho" w:hAnsi="Futura" w:cs="Futura"/>
          <w:color w:val="auto"/>
          <w:sz w:val="24"/>
          <w:szCs w:val="24"/>
          <w:lang w:val="en-US"/>
        </w:rPr>
        <w:t>arrangement;</w:t>
      </w:r>
      <w:proofErr w:type="gramEnd"/>
    </w:p>
    <w:p w14:paraId="1991B56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(b) the project proposes parallel operation of synchronous generation with the Distribution Licensee’s </w:t>
      </w:r>
      <w:proofErr w:type="gramStart"/>
      <w:r w:rsidRPr="0068638F">
        <w:rPr>
          <w:rFonts w:ascii="Futura" w:eastAsia="MS Mincho" w:hAnsi="Futura" w:cs="Futura"/>
          <w:color w:val="auto"/>
          <w:sz w:val="24"/>
          <w:szCs w:val="24"/>
          <w:lang w:val="en-US"/>
        </w:rPr>
        <w:t>network;</w:t>
      </w:r>
      <w:proofErr w:type="gramEnd"/>
    </w:p>
    <w:p w14:paraId="05E916D9"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(c) major reinforcement, network reconfiguration, or protection redesign appears </w:t>
      </w:r>
      <w:proofErr w:type="gramStart"/>
      <w:r w:rsidRPr="0068638F">
        <w:rPr>
          <w:rFonts w:ascii="Futura" w:eastAsia="MS Mincho" w:hAnsi="Futura" w:cs="Futura"/>
          <w:color w:val="auto"/>
          <w:sz w:val="24"/>
          <w:szCs w:val="24"/>
          <w:lang w:val="en-US"/>
        </w:rPr>
        <w:t>necessary;</w:t>
      </w:r>
      <w:proofErr w:type="gramEnd"/>
    </w:p>
    <w:p w14:paraId="5A1E41E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(d) the Hosting Capacity Information is unavailable, stale, materially incomplete, or contradicted by known feeder </w:t>
      </w:r>
      <w:proofErr w:type="gramStart"/>
      <w:r w:rsidRPr="0068638F">
        <w:rPr>
          <w:rFonts w:ascii="Futura" w:eastAsia="MS Mincho" w:hAnsi="Futura" w:cs="Futura"/>
          <w:color w:val="auto"/>
          <w:sz w:val="24"/>
          <w:szCs w:val="24"/>
          <w:lang w:val="en-US"/>
        </w:rPr>
        <w:t>conditions;</w:t>
      </w:r>
      <w:proofErr w:type="gramEnd"/>
    </w:p>
    <w:p w14:paraId="55D3D25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(e) the project seeks export beyond the feeder’s indicated capability or seeks unrestricted export on a stressed </w:t>
      </w:r>
      <w:proofErr w:type="gramStart"/>
      <w:r w:rsidRPr="0068638F">
        <w:rPr>
          <w:rFonts w:ascii="Futura" w:eastAsia="MS Mincho" w:hAnsi="Futura" w:cs="Futura"/>
          <w:color w:val="auto"/>
          <w:sz w:val="24"/>
          <w:szCs w:val="24"/>
          <w:lang w:val="en-US"/>
        </w:rPr>
        <w:t>feeder;</w:t>
      </w:r>
      <w:proofErr w:type="gramEnd"/>
    </w:p>
    <w:p w14:paraId="3A38A0F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(f) the project raises unresolved concerns on voltage profile, short-circuit contribution, reverse power flow, harmonics, flicker, or protection </w:t>
      </w:r>
      <w:proofErr w:type="gramStart"/>
      <w:r w:rsidRPr="0068638F">
        <w:rPr>
          <w:rFonts w:ascii="Futura" w:eastAsia="MS Mincho" w:hAnsi="Futura" w:cs="Futura"/>
          <w:color w:val="auto"/>
          <w:sz w:val="24"/>
          <w:szCs w:val="24"/>
          <w:lang w:val="en-US"/>
        </w:rPr>
        <w:t>coordination;</w:t>
      </w:r>
      <w:proofErr w:type="gramEnd"/>
    </w:p>
    <w:p w14:paraId="29839293"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(g) the project falls outside the capacity </w:t>
      </w:r>
      <w:proofErr w:type="gramStart"/>
      <w:r w:rsidRPr="0068638F">
        <w:rPr>
          <w:rFonts w:ascii="Futura" w:eastAsia="MS Mincho" w:hAnsi="Futura" w:cs="Futura"/>
          <w:color w:val="auto"/>
          <w:sz w:val="24"/>
          <w:szCs w:val="24"/>
          <w:lang w:val="en-US"/>
        </w:rPr>
        <w:t>band</w:t>
      </w:r>
      <w:proofErr w:type="gramEnd"/>
      <w:r w:rsidRPr="0068638F">
        <w:rPr>
          <w:rFonts w:ascii="Futura" w:eastAsia="MS Mincho" w:hAnsi="Futura" w:cs="Futura"/>
          <w:color w:val="auto"/>
          <w:sz w:val="24"/>
          <w:szCs w:val="24"/>
          <w:lang w:val="en-US"/>
        </w:rPr>
        <w:t xml:space="preserve"> or technical envelope of the standard technical conditions prescribed in Schedule 15 to these </w:t>
      </w:r>
      <w:proofErr w:type="gramStart"/>
      <w:r w:rsidRPr="0068638F">
        <w:rPr>
          <w:rFonts w:ascii="Futura" w:eastAsia="MS Mincho" w:hAnsi="Futura" w:cs="Futura"/>
          <w:color w:val="auto"/>
          <w:sz w:val="24"/>
          <w:szCs w:val="24"/>
          <w:lang w:val="en-US"/>
        </w:rPr>
        <w:t>Regulations;</w:t>
      </w:r>
      <w:proofErr w:type="gramEnd"/>
    </w:p>
    <w:p w14:paraId="379AD46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(h) the Commission or the Distribution Licensee identifies any site-specific technical risk that cannot reasonably be addressed through a short-form review.</w:t>
      </w:r>
    </w:p>
    <w:p w14:paraId="49D2C2A4"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12. Review Outcome and Conditions</w:t>
      </w:r>
    </w:p>
    <w:p w14:paraId="3581DDE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12.1 On review of a Short-Form SIS Confirmation, the Distribution Licensee may confirm that the proposed interconnection is acceptable as submitted, acceptable subject to stated conditions, or not acceptable under the simplified pathway.</w:t>
      </w:r>
    </w:p>
    <w:p w14:paraId="522AB5F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12.2 Any condition imposed shall be specific, proportionate, and reasonably necessary for safety, metering integrity, operational coordination, or power quality.</w:t>
      </w:r>
    </w:p>
    <w:p w14:paraId="4B93B6C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12.3 Refusal of the simplified pathway shall be stated in writing with sufficient technical reasons to enable the developer to understand whether a full SIS, limited rectification, or a different feeder or operating mode is required.</w:t>
      </w:r>
    </w:p>
    <w:p w14:paraId="7CD78EEF"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13. Relationship with Schedule 10 and Project Documents</w:t>
      </w:r>
    </w:p>
    <w:p w14:paraId="74937230"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13.1 Where a project relies on section 9 of the Mini Grid Regulations 2026, the Mandatory Technical and Commercial Annex in Schedule 10 shall identify the approved operating mode and any approved deviation from the standard technical conditions prescribed in Schedule 15 to these Regulations.</w:t>
      </w:r>
    </w:p>
    <w:p w14:paraId="579095F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13.2 The Tripartite Agreement, Interconnection Agreement, and permit shall remain the authoritative project-specific instruments for operating conditions, protection settings, outage coordination, metering, and communications obligations.</w:t>
      </w:r>
    </w:p>
    <w:p w14:paraId="60D53E27"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13.3 Nothing in this Schedule prevents the Commission from imposing additional project-specific conditions </w:t>
      </w:r>
      <w:proofErr w:type="gramStart"/>
      <w:r w:rsidRPr="0068638F">
        <w:rPr>
          <w:rFonts w:ascii="Futura" w:eastAsia="MS Mincho" w:hAnsi="Futura" w:cs="Futura"/>
          <w:color w:val="auto"/>
          <w:sz w:val="24"/>
          <w:szCs w:val="24"/>
          <w:lang w:val="en-US"/>
        </w:rPr>
        <w:t>in</w:t>
      </w:r>
      <w:proofErr w:type="gramEnd"/>
      <w:r w:rsidRPr="0068638F">
        <w:rPr>
          <w:rFonts w:ascii="Futura" w:eastAsia="MS Mincho" w:hAnsi="Futura" w:cs="Futura"/>
          <w:color w:val="auto"/>
          <w:sz w:val="24"/>
          <w:szCs w:val="24"/>
          <w:lang w:val="en-US"/>
        </w:rPr>
        <w:t xml:space="preserve"> the permit or approved contracts where feeder conditions or </w:t>
      </w:r>
      <w:proofErr w:type="gramStart"/>
      <w:r w:rsidRPr="0068638F">
        <w:rPr>
          <w:rFonts w:ascii="Futura" w:eastAsia="MS Mincho" w:hAnsi="Futura" w:cs="Futura"/>
          <w:color w:val="auto"/>
          <w:sz w:val="24"/>
          <w:szCs w:val="24"/>
          <w:lang w:val="en-US"/>
        </w:rPr>
        <w:t>system security so</w:t>
      </w:r>
      <w:proofErr w:type="gramEnd"/>
      <w:r w:rsidRPr="0068638F">
        <w:rPr>
          <w:rFonts w:ascii="Futura" w:eastAsia="MS Mincho" w:hAnsi="Futura" w:cs="Futura"/>
          <w:color w:val="auto"/>
          <w:sz w:val="24"/>
          <w:szCs w:val="24"/>
          <w:lang w:val="en-US"/>
        </w:rPr>
        <w:t xml:space="preserve"> require.</w:t>
      </w:r>
    </w:p>
    <w:p w14:paraId="6FBE44D1"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14. Compliance, Inspection, and Review</w:t>
      </w:r>
    </w:p>
    <w:p w14:paraId="7163004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14.1 A project approved through the simplified pathway shall be subject to inspection, testing, and </w:t>
      </w:r>
      <w:proofErr w:type="spellStart"/>
      <w:r w:rsidRPr="0068638F">
        <w:rPr>
          <w:rFonts w:ascii="Futura" w:eastAsia="MS Mincho" w:hAnsi="Futura" w:cs="Futura"/>
          <w:color w:val="auto"/>
          <w:sz w:val="24"/>
          <w:szCs w:val="24"/>
          <w:lang w:val="en-US"/>
        </w:rPr>
        <w:t>energisation</w:t>
      </w:r>
      <w:proofErr w:type="spellEnd"/>
      <w:r w:rsidRPr="0068638F">
        <w:rPr>
          <w:rFonts w:ascii="Futura" w:eastAsia="MS Mincho" w:hAnsi="Futura" w:cs="Futura"/>
          <w:color w:val="auto"/>
          <w:sz w:val="24"/>
          <w:szCs w:val="24"/>
          <w:lang w:val="en-US"/>
        </w:rPr>
        <w:t xml:space="preserve"> approval requirements applicable under the Mini Grid Regulations 2026, any applicable inspection requirement, and any direction of the Commission.</w:t>
      </w:r>
    </w:p>
    <w:p w14:paraId="7E0EBBD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14.2 If a project is found, before or after </w:t>
      </w:r>
      <w:proofErr w:type="spellStart"/>
      <w:r w:rsidRPr="0068638F">
        <w:rPr>
          <w:rFonts w:ascii="Futura" w:eastAsia="MS Mincho" w:hAnsi="Futura" w:cs="Futura"/>
          <w:color w:val="auto"/>
          <w:sz w:val="24"/>
          <w:szCs w:val="24"/>
          <w:lang w:val="en-US"/>
        </w:rPr>
        <w:t>energisation</w:t>
      </w:r>
      <w:proofErr w:type="spellEnd"/>
      <w:r w:rsidRPr="0068638F">
        <w:rPr>
          <w:rFonts w:ascii="Futura" w:eastAsia="MS Mincho" w:hAnsi="Futura" w:cs="Futura"/>
          <w:color w:val="auto"/>
          <w:sz w:val="24"/>
          <w:szCs w:val="24"/>
          <w:lang w:val="en-US"/>
        </w:rPr>
        <w:t xml:space="preserve">, not to conform materially to the Approved Operating Mode or standard technical conditions relied upon, the Commission may direct corrective action, require </w:t>
      </w:r>
      <w:proofErr w:type="gramStart"/>
      <w:r w:rsidRPr="0068638F">
        <w:rPr>
          <w:rFonts w:ascii="Futura" w:eastAsia="MS Mincho" w:hAnsi="Futura" w:cs="Futura"/>
          <w:color w:val="auto"/>
          <w:sz w:val="24"/>
          <w:szCs w:val="24"/>
          <w:lang w:val="en-US"/>
        </w:rPr>
        <w:t>a fuller</w:t>
      </w:r>
      <w:proofErr w:type="gramEnd"/>
      <w:r w:rsidRPr="0068638F">
        <w:rPr>
          <w:rFonts w:ascii="Futura" w:eastAsia="MS Mincho" w:hAnsi="Futura" w:cs="Futura"/>
          <w:color w:val="auto"/>
          <w:sz w:val="24"/>
          <w:szCs w:val="24"/>
          <w:lang w:val="en-US"/>
        </w:rPr>
        <w:t xml:space="preserve"> study, suspend export, or take such other regulatory action as it considers appropriate.</w:t>
      </w:r>
    </w:p>
    <w:p w14:paraId="16485643" w14:textId="0FC08821"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14.3 The Commission may revise the prescribed forms, templates, and appendices from time to time</w:t>
      </w:r>
      <w:r w:rsidR="00DC4CC6">
        <w:rPr>
          <w:rFonts w:ascii="Futura" w:eastAsia="MS Mincho" w:hAnsi="Futura" w:cs="Futura"/>
          <w:color w:val="auto"/>
          <w:sz w:val="24"/>
          <w:szCs w:val="24"/>
          <w:lang w:val="en-US"/>
        </w:rPr>
        <w:t>,</w:t>
      </w:r>
      <w:r w:rsidRPr="0068638F">
        <w:rPr>
          <w:rFonts w:ascii="Futura" w:eastAsia="MS Mincho" w:hAnsi="Futura" w:cs="Futura"/>
          <w:color w:val="auto"/>
          <w:sz w:val="24"/>
          <w:szCs w:val="24"/>
          <w:lang w:val="en-US"/>
        </w:rPr>
        <w:t xml:space="preserve"> having regard to technological development, field experience, the Distribution Code, and the needs of the Nigerian electricity market.</w:t>
      </w:r>
    </w:p>
    <w:p w14:paraId="7C13594C"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2B8901EE"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414EC7C7"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35532262"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2339813D" w14:textId="77777777" w:rsidR="00DC4CC6" w:rsidRDefault="00DC4CC6" w:rsidP="003A761E">
      <w:pPr>
        <w:spacing w:after="80" w:line="264" w:lineRule="auto"/>
        <w:ind w:left="0" w:right="0" w:firstLine="0"/>
        <w:rPr>
          <w:rFonts w:ascii="Futura" w:eastAsia="MS Mincho" w:hAnsi="Futura" w:cs="Futura"/>
          <w:color w:val="auto"/>
          <w:sz w:val="24"/>
          <w:szCs w:val="24"/>
          <w:lang w:val="en-US"/>
        </w:rPr>
      </w:pPr>
    </w:p>
    <w:p w14:paraId="7021FC43" w14:textId="515ACB63"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APPENDIX 1</w:t>
      </w:r>
    </w:p>
    <w:p w14:paraId="62D791D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Minimum Standard Conditions Matrix</w:t>
      </w:r>
    </w:p>
    <w:tbl>
      <w:tblPr>
        <w:tblStyle w:val="TableGrid"/>
        <w:tblW w:w="0" w:type="auto"/>
        <w:tblLook w:val="06A0" w:firstRow="1" w:lastRow="0" w:firstColumn="1" w:lastColumn="0" w:noHBand="1" w:noVBand="1"/>
      </w:tblPr>
      <w:tblGrid>
        <w:gridCol w:w="1667"/>
        <w:gridCol w:w="1384"/>
        <w:gridCol w:w="1392"/>
        <w:gridCol w:w="1441"/>
        <w:gridCol w:w="1523"/>
        <w:gridCol w:w="1593"/>
      </w:tblGrid>
      <w:tr w:rsidR="006F2EBB" w:rsidRPr="0068638F" w14:paraId="1C45C9C4"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3020C5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Item</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09F4FE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Non-Export Project</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AC9078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Limited Export Project</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D3339E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Managed Export Project</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1422F6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Mandatory</w:t>
            </w:r>
          </w:p>
        </w:tc>
        <w:tc>
          <w:tcPr>
            <w:tcW w:w="165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321A1B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Notes</w:t>
            </w:r>
          </w:p>
        </w:tc>
      </w:tr>
      <w:tr w:rsidR="006F2EBB" w:rsidRPr="0068638F" w14:paraId="47E6C05B"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C5A32C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Single PCC</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5BD11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C7056E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CC30B7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19C113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4CAF1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Projects with multiple PCCs fall outside the simplified pathway.</w:t>
            </w:r>
          </w:p>
        </w:tc>
      </w:tr>
      <w:tr w:rsidR="006F2EBB" w:rsidRPr="0068638F" w14:paraId="723ABB5F"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A6E2E3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Radial feeder only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FEFAE9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909190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D12742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7FF5FCD"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0B0E9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Looped or meshed network effects require case-specific review.</w:t>
            </w:r>
          </w:p>
        </w:tc>
      </w:tr>
      <w:tr w:rsidR="006F2EBB" w:rsidRPr="0068638F" w14:paraId="7A8C24D6"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2331E8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Solar PV + battery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E26F3F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76B0DAD"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0F8546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1C9DF5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88AA94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Other technologies may be added by later Commission order.</w:t>
            </w:r>
          </w:p>
        </w:tc>
      </w:tr>
      <w:tr w:rsidR="006F2EBB" w:rsidRPr="0068638F" w14:paraId="37855F0F"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D6E1A4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Synchronous generation in parallel with DisCo network</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3F21AD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9FC5AE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137737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Case-specific</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75523CD"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84B303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If proposed, a full study is ordinarily required.</w:t>
            </w:r>
          </w:p>
        </w:tc>
      </w:tr>
      <w:tr w:rsidR="006F2EBB" w:rsidRPr="0068638F" w14:paraId="267EA977"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29C9B5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Routine export</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CFF363D"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5D0846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Limited only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74066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Managed only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26BD5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By operating mode</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23997B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Export mode must match approved limits and </w:t>
            </w:r>
            <w:r w:rsidRPr="0068638F">
              <w:rPr>
                <w:rFonts w:ascii="Futura" w:eastAsia="MS Mincho" w:hAnsi="Futura" w:cs="Futura"/>
                <w:color w:val="auto"/>
                <w:sz w:val="24"/>
                <w:szCs w:val="24"/>
              </w:rPr>
              <w:lastRenderedPageBreak/>
              <w:t>control settings.</w:t>
            </w:r>
          </w:p>
        </w:tc>
      </w:tr>
      <w:tr w:rsidR="006F2EBB" w:rsidRPr="0068638F" w14:paraId="7BD3908F"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4380D7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Standard protection package</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569D39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7E732A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B8E1E1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625E6E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718C1E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See Appendix 2 checklist.</w:t>
            </w:r>
          </w:p>
        </w:tc>
      </w:tr>
      <w:tr w:rsidR="006F2EBB" w:rsidRPr="0068638F" w14:paraId="6F84D8C0"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E5DAF63"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PCC import meter</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1E697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8C0E7D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8B662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DDA6C03"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F6E8F8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Primary meter for settlement unless otherwise approved.</w:t>
            </w:r>
          </w:p>
        </w:tc>
      </w:tr>
      <w:tr w:rsidR="006F2EBB" w:rsidRPr="0068638F" w14:paraId="79743CFA"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7C2C1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PCC export meter</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4B56A2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 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EB6C35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470EAF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AF4255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If export enabled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34A037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May be combined or separate depending on approved metering solution.</w:t>
            </w:r>
          </w:p>
        </w:tc>
      </w:tr>
      <w:tr w:rsidR="006F2EBB" w:rsidRPr="0068638F" w14:paraId="1038E2A3"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54451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Remote visibility</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AEC8B4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Optional</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FA90F7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3C34A3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0398E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By operating mode</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30D4C6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At minimum for export-enabled projects.</w:t>
            </w:r>
          </w:p>
        </w:tc>
      </w:tr>
      <w:tr w:rsidR="006F2EBB" w:rsidRPr="0068638F" w14:paraId="3A776440" w14:textId="77777777" w:rsidTr="00E03240">
        <w:trPr>
          <w:trHeight w:val="300"/>
        </w:trPr>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15B4B2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Major reinforcement</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5FCD8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 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45C4EF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 required</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44D556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Case-specific</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5D2592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w:t>
            </w:r>
          </w:p>
        </w:tc>
        <w:tc>
          <w:tcPr>
            <w:tcW w:w="1656"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1B366B0"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If required, the full study path is ordinarily triggered.</w:t>
            </w:r>
          </w:p>
        </w:tc>
      </w:tr>
    </w:tbl>
    <w:p w14:paraId="5CB75321" w14:textId="77777777" w:rsidR="008B2236" w:rsidRDefault="008B2236" w:rsidP="003A761E">
      <w:pPr>
        <w:spacing w:after="80" w:line="264" w:lineRule="auto"/>
        <w:ind w:left="0" w:right="0" w:firstLine="0"/>
        <w:rPr>
          <w:rFonts w:ascii="Futura" w:eastAsia="MS Mincho" w:hAnsi="Futura" w:cs="Futura"/>
          <w:color w:val="auto"/>
          <w:sz w:val="24"/>
          <w:szCs w:val="24"/>
          <w:lang w:val="en-US"/>
        </w:rPr>
      </w:pPr>
    </w:p>
    <w:p w14:paraId="114DBDD3" w14:textId="29E54C92"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APPENDIX 2</w:t>
      </w:r>
    </w:p>
    <w:p w14:paraId="6E78019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Short-Form System Impact Study Confirmation Template</w:t>
      </w:r>
    </w:p>
    <w:p w14:paraId="0CE1278B"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This template shall be completed by the developer and signed by a competent technical signatory. The Distribution Licensee shall complete Section H following review.</w:t>
      </w:r>
    </w:p>
    <w:p w14:paraId="34B6A962"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A. Project Identification and Application Details</w:t>
      </w:r>
    </w:p>
    <w:tbl>
      <w:tblPr>
        <w:tblStyle w:val="TableGrid"/>
        <w:tblW w:w="0" w:type="auto"/>
        <w:tblLook w:val="06A0" w:firstRow="1" w:lastRow="0" w:firstColumn="1" w:lastColumn="0" w:noHBand="1" w:noVBand="1"/>
      </w:tblPr>
      <w:tblGrid>
        <w:gridCol w:w="4667"/>
        <w:gridCol w:w="4333"/>
      </w:tblGrid>
      <w:tr w:rsidR="006F2EBB" w:rsidRPr="0068638F" w14:paraId="22A4288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E8CDCA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CFAF55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2011BECB"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EB2EBC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Project name / reference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10B0D8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5DD8F9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3D13CA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Mini-grid developer / permit applicant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D11906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3FBB3384"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FDA7B7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Project location (State / LGA / Community)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BFFF8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4BE4BB7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BB4157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Project type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6A826C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Solar PV only / Solar PV + BESS / BESS-supported IMG / Other</w:t>
            </w:r>
          </w:p>
        </w:tc>
      </w:tr>
      <w:tr w:rsidR="006F2EBB" w:rsidRPr="0068638F" w14:paraId="4F055F1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0F8CB4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Installed PV capacity (</w:t>
            </w:r>
            <w:proofErr w:type="spellStart"/>
            <w:r w:rsidRPr="0068638F">
              <w:rPr>
                <w:rFonts w:ascii="Futura" w:eastAsia="MS Mincho" w:hAnsi="Futura" w:cs="Futura"/>
                <w:color w:val="auto"/>
                <w:sz w:val="24"/>
                <w:szCs w:val="24"/>
              </w:rPr>
              <w:t>kWp</w:t>
            </w:r>
            <w:proofErr w:type="spellEnd"/>
            <w:r w:rsidRPr="0068638F">
              <w:rPr>
                <w:rFonts w:ascii="Futura" w:eastAsia="MS Mincho" w:hAnsi="Futura" w:cs="Futura"/>
                <w:color w:val="auto"/>
                <w:sz w:val="24"/>
                <w:szCs w:val="24"/>
              </w:rPr>
              <w:t xml:space="preserve"> / MWp)</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39A3C3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2B71C4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C1D4C39"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Installed battery capacity (kWh / MWh) and inverter rating</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01E4E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4D8BCD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5C3B524" w14:textId="2A0A3201"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Requested date of </w:t>
            </w:r>
            <w:r w:rsidR="008B2236">
              <w:rPr>
                <w:rFonts w:ascii="Futura" w:eastAsia="MS Mincho" w:hAnsi="Futura" w:cs="Futura"/>
                <w:color w:val="auto"/>
                <w:sz w:val="24"/>
                <w:szCs w:val="24"/>
              </w:rPr>
              <w:t>interconnection/energisation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009038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64242B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9D14E70" w14:textId="73E1855B"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Name, title, and contact details of </w:t>
            </w:r>
            <w:r w:rsidR="00127244">
              <w:rPr>
                <w:rFonts w:ascii="Futura" w:eastAsia="MS Mincho" w:hAnsi="Futura" w:cs="Futura"/>
                <w:color w:val="auto"/>
                <w:sz w:val="24"/>
                <w:szCs w:val="24"/>
              </w:rPr>
              <w:t xml:space="preserve">the </w:t>
            </w:r>
            <w:r w:rsidRPr="0068638F">
              <w:rPr>
                <w:rFonts w:ascii="Futura" w:eastAsia="MS Mincho" w:hAnsi="Futura" w:cs="Futura"/>
                <w:color w:val="auto"/>
                <w:sz w:val="24"/>
                <w:szCs w:val="24"/>
              </w:rPr>
              <w:t>responsible technical signatory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DBAE72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6706633C"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B. Feeder, PCC, and Interconnection Data</w:t>
      </w:r>
    </w:p>
    <w:tbl>
      <w:tblPr>
        <w:tblStyle w:val="TableGrid"/>
        <w:tblW w:w="0" w:type="auto"/>
        <w:tblLook w:val="06A0" w:firstRow="1" w:lastRow="0" w:firstColumn="1" w:lastColumn="0" w:noHBand="1" w:noVBand="1"/>
      </w:tblPr>
      <w:tblGrid>
        <w:gridCol w:w="4512"/>
        <w:gridCol w:w="4488"/>
      </w:tblGrid>
      <w:tr w:rsidR="006F2EBB" w:rsidRPr="0068638F" w14:paraId="0652F59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B19DF4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2A97382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6677FB2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A429C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Distribution Licensee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FE45AB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3D9880E"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3EA487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Supplying substation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DEA62B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D62083C"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B4553E1" w14:textId="0ABE74B8"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Feeder </w:t>
            </w:r>
            <w:r w:rsidR="00127244">
              <w:rPr>
                <w:rFonts w:ascii="Futura" w:eastAsia="MS Mincho" w:hAnsi="Futura" w:cs="Futura"/>
                <w:color w:val="auto"/>
                <w:sz w:val="24"/>
                <w:szCs w:val="24"/>
              </w:rPr>
              <w:t>name/feeder</w:t>
            </w:r>
            <w:r w:rsidRPr="0068638F">
              <w:rPr>
                <w:rFonts w:ascii="Futura" w:eastAsia="MS Mincho" w:hAnsi="Futura" w:cs="Futura"/>
                <w:color w:val="auto"/>
                <w:sz w:val="24"/>
                <w:szCs w:val="24"/>
              </w:rPr>
              <w:t xml:space="preserve"> code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DAFD3EE"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FE09D3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E2B72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Voltage level at PCC</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899D081"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36A98A7B"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FBEAD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PCC reference / pole / RMU / transformer / location marker</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96E4714"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E0062C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1325DB6"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Radial feeder confirmation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41DE7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 / No</w:t>
            </w:r>
          </w:p>
        </w:tc>
      </w:tr>
      <w:tr w:rsidR="006F2EBB" w:rsidRPr="0068638F" w14:paraId="30084A0F"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FDA6D8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Existing </w:t>
            </w: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publication reference and date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9A95400"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529534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90DF4E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Requested import capacity at PCC (KW/ MW)</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79C28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02FB97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D6C52D0"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Requested export capacity at PCC (kW/ MW), if any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FB1B9C0"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51EAE558"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C. Approved Operating Mode</w:t>
      </w:r>
    </w:p>
    <w:tbl>
      <w:tblPr>
        <w:tblStyle w:val="TableGrid"/>
        <w:tblW w:w="0" w:type="auto"/>
        <w:tblLook w:val="06A0" w:firstRow="1" w:lastRow="0" w:firstColumn="1" w:lastColumn="0" w:noHBand="1" w:noVBand="1"/>
      </w:tblPr>
      <w:tblGrid>
        <w:gridCol w:w="4489"/>
        <w:gridCol w:w="4511"/>
      </w:tblGrid>
      <w:tr w:rsidR="006F2EBB" w:rsidRPr="0068638F" w14:paraId="7CD9136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B6D3603"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7BDF12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06CCB0A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ECA0CA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Selected operating mode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854C315"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Non-Export / Limited Export / Managed Export</w:t>
            </w:r>
          </w:p>
        </w:tc>
      </w:tr>
      <w:tr w:rsidR="006F2EBB" w:rsidRPr="0068638F" w14:paraId="6318F58C"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5A0EC9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Reason the selected operating mode applies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9A0A64F"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47E6BF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90D553"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Any project-specific deviation requested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254A65A"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None / Yes — describe</w:t>
            </w:r>
          </w:p>
        </w:tc>
      </w:tr>
      <w:tr w:rsidR="006F2EBB" w:rsidRPr="0068638F" w14:paraId="2F7E0D81"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100AF17"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Does the project require a full SIS instead of the short-form route?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249ACFC"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 / Yes — explain</w:t>
            </w:r>
          </w:p>
        </w:tc>
      </w:tr>
    </w:tbl>
    <w:p w14:paraId="11D8D0A5" w14:textId="77777777" w:rsidR="006F2EBB" w:rsidRPr="0068638F" w:rsidRDefault="006F2EBB" w:rsidP="003A761E">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D. Generating Plant and Battery Characteristics</w:t>
      </w:r>
    </w:p>
    <w:tbl>
      <w:tblPr>
        <w:tblStyle w:val="TableGrid"/>
        <w:tblW w:w="0" w:type="auto"/>
        <w:tblLook w:val="06A0" w:firstRow="1" w:lastRow="0" w:firstColumn="1" w:lastColumn="0" w:noHBand="1" w:noVBand="1"/>
      </w:tblPr>
      <w:tblGrid>
        <w:gridCol w:w="4513"/>
        <w:gridCol w:w="4487"/>
      </w:tblGrid>
      <w:tr w:rsidR="006F2EBB" w:rsidRPr="0068638F" w14:paraId="1B3B5D3F"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45C915D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4E57D962"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2E7C5890"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74E8CB"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PV module manufacturer / model</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3138258" w14:textId="77777777" w:rsidR="006F2EBB" w:rsidRPr="0068638F" w:rsidRDefault="006F2EBB" w:rsidP="003A761E">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CC40EF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35E6A0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Total inverter AC rating</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817311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FAB226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87EBC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Battery manufacturer / model</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117F8A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72C03A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3533C9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Battery usable energy capacity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B48E95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0CB8367E"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E94445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Battery discharge duration at rated output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90DAD2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64C61DEB"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20F2F4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Standby generator behind </w:t>
            </w:r>
            <w:proofErr w:type="gramStart"/>
            <w:r w:rsidRPr="0068638F">
              <w:rPr>
                <w:rFonts w:ascii="Futura" w:eastAsia="MS Mincho" w:hAnsi="Futura" w:cs="Futura"/>
                <w:color w:val="auto"/>
                <w:sz w:val="24"/>
                <w:szCs w:val="24"/>
              </w:rPr>
              <w:t>mini-grid</w:t>
            </w:r>
            <w:proofErr w:type="gramEnd"/>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B9596C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None / Yes — describe</w:t>
            </w:r>
          </w:p>
        </w:tc>
      </w:tr>
      <w:tr w:rsidR="006F2EBB" w:rsidRPr="0068638F" w14:paraId="57658D3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F76A11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Normal operating mode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50F4F6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Import only / Import + no export / Import + limited export / Managed export</w:t>
            </w:r>
          </w:p>
        </w:tc>
      </w:tr>
    </w:tbl>
    <w:p w14:paraId="6DE7414F"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E. Protection, Metering, and Communications</w:t>
      </w:r>
    </w:p>
    <w:tbl>
      <w:tblPr>
        <w:tblStyle w:val="TableGrid"/>
        <w:tblW w:w="0" w:type="auto"/>
        <w:tblLook w:val="06A0" w:firstRow="1" w:lastRow="0" w:firstColumn="1" w:lastColumn="0" w:noHBand="1" w:noVBand="1"/>
      </w:tblPr>
      <w:tblGrid>
        <w:gridCol w:w="4642"/>
        <w:gridCol w:w="4358"/>
      </w:tblGrid>
      <w:tr w:rsidR="006F2EBB" w:rsidRPr="0068638F" w14:paraId="7D39E59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BC154B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22DC6C7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2F0AE40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12A0C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Anti-islanding provided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534361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 / No</w:t>
            </w:r>
          </w:p>
        </w:tc>
      </w:tr>
      <w:tr w:rsidR="006F2EBB" w:rsidRPr="0068638F" w14:paraId="5B89A91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DA765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Voltage and frequency protection provided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AFB08B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 / No</w:t>
            </w:r>
          </w:p>
        </w:tc>
      </w:tr>
      <w:tr w:rsidR="006F2EBB" w:rsidRPr="0068638F" w14:paraId="31A12AAF"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B28F76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Export limiting control provided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DA803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 applicable / Yes</w:t>
            </w:r>
          </w:p>
        </w:tc>
      </w:tr>
      <w:tr w:rsidR="006F2EBB" w:rsidRPr="0068638F" w14:paraId="50FC6F6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EEF4FB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PCC metering arrangement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DD21F0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6D58035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F4AE742" w14:textId="7DDA2FC2"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Check meter proposed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796C03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 / Yes</w:t>
            </w:r>
          </w:p>
        </w:tc>
      </w:tr>
      <w:tr w:rsidR="006F2EBB" w:rsidRPr="0068638F" w14:paraId="007C4D6C"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48453CD" w14:textId="30425D55" w:rsidR="006F2EBB" w:rsidRPr="0068638F" w:rsidRDefault="00127244" w:rsidP="00E03240">
            <w:pPr>
              <w:spacing w:after="80" w:line="264" w:lineRule="auto"/>
              <w:ind w:left="0" w:right="0" w:firstLine="0"/>
              <w:rPr>
                <w:rFonts w:ascii="Futura" w:eastAsia="MS Mincho" w:hAnsi="Futura" w:cs="Futura"/>
                <w:color w:val="auto"/>
                <w:sz w:val="24"/>
                <w:szCs w:val="24"/>
              </w:rPr>
            </w:pPr>
            <w:r>
              <w:rPr>
                <w:rFonts w:ascii="Futura" w:eastAsia="MS Mincho" w:hAnsi="Futura" w:cs="Futura"/>
                <w:color w:val="auto"/>
                <w:sz w:val="24"/>
                <w:szCs w:val="24"/>
              </w:rPr>
              <w:t>Communications/telemetry</w:t>
            </w:r>
            <w:r w:rsidR="006F2EBB" w:rsidRPr="0068638F">
              <w:rPr>
                <w:rFonts w:ascii="Futura" w:eastAsia="MS Mincho" w:hAnsi="Futura" w:cs="Futura"/>
                <w:color w:val="auto"/>
                <w:sz w:val="24"/>
                <w:szCs w:val="24"/>
              </w:rPr>
              <w:t xml:space="preserve"> arrangement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38FD8C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4E1B2B74"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BB2D6C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Operating contact for outage coordination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6E5EF5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035ED4FD"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F. Hosting Capacity Information Basis and Key Assumptions</w:t>
      </w:r>
    </w:p>
    <w:tbl>
      <w:tblPr>
        <w:tblStyle w:val="TableGrid"/>
        <w:tblW w:w="0" w:type="auto"/>
        <w:tblLook w:val="06A0" w:firstRow="1" w:lastRow="0" w:firstColumn="1" w:lastColumn="0" w:noHBand="1" w:noVBand="1"/>
      </w:tblPr>
      <w:tblGrid>
        <w:gridCol w:w="4517"/>
        <w:gridCol w:w="4483"/>
      </w:tblGrid>
      <w:tr w:rsidR="006F2EBB" w:rsidRPr="0068638F" w14:paraId="3B238A4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81DAB3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53DB3B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w:t>
            </w:r>
          </w:p>
        </w:tc>
      </w:tr>
      <w:tr w:rsidR="006F2EBB" w:rsidRPr="0068638F" w14:paraId="63ED4E6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D7CC51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Does published </w:t>
            </w: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show sufficient available capacity?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6A21AD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Yes / No</w:t>
            </w:r>
          </w:p>
        </w:tc>
      </w:tr>
      <w:tr w:rsidR="006F2EBB" w:rsidRPr="0068638F" w14:paraId="78CD633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1E58F2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Known feeder limitations identified in </w:t>
            </w:r>
            <w:r w:rsidRPr="0068638F">
              <w:rPr>
                <w:rFonts w:ascii="Futura" w:eastAsia="MS Mincho" w:hAnsi="Futura" w:cs="Futura"/>
                <w:color w:val="auto"/>
                <w:sz w:val="24"/>
                <w:szCs w:val="24"/>
                <w:lang w:val="en-US"/>
              </w:rPr>
              <w:t>Hosting Capacity Information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EB1747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6F6E5FF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A638C7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Assumed import limit used in review</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80FC11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E800B9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863BEA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Assumed export limit used in review</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595CA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7C98A0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149DBE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Any reinforcement or protection modification required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986E9F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 / Yes — describe</w:t>
            </w:r>
          </w:p>
        </w:tc>
      </w:tr>
      <w:tr w:rsidR="006F2EBB" w:rsidRPr="0068638F" w14:paraId="0DAEA7E1"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9C139A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Basis for concluding project fits short-form pathway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4CED42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006B1AF0"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 xml:space="preserve"> </w:t>
      </w:r>
    </w:p>
    <w:p w14:paraId="27F52582"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G. Developer Technical Declaration</w:t>
      </w:r>
    </w:p>
    <w:tbl>
      <w:tblPr>
        <w:tblStyle w:val="TableGrid"/>
        <w:tblW w:w="0" w:type="auto"/>
        <w:tblLook w:val="06A0" w:firstRow="1" w:lastRow="0" w:firstColumn="1" w:lastColumn="0" w:noHBand="1" w:noVBand="1"/>
      </w:tblPr>
      <w:tblGrid>
        <w:gridCol w:w="4581"/>
        <w:gridCol w:w="4419"/>
      </w:tblGrid>
      <w:tr w:rsidR="006F2EBB" w:rsidRPr="0068638F" w14:paraId="3B5FCF00"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2ACA82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Declaration item</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4BC6AF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Confirmation</w:t>
            </w:r>
          </w:p>
        </w:tc>
      </w:tr>
      <w:tr w:rsidR="006F2EBB" w:rsidRPr="0068638F" w14:paraId="09D036B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594F63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The project information in this form is accurate and complete.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EB7BCB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Confirmed / Not confirmed</w:t>
            </w:r>
          </w:p>
        </w:tc>
      </w:tr>
      <w:tr w:rsidR="006F2EBB" w:rsidRPr="0068638F" w14:paraId="6728841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CFC9B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The project conforms to the approved operating mode and the applicable standard technical conditions in Schedule 15.</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57A7D6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Confirmed / Not confirmed</w:t>
            </w:r>
          </w:p>
        </w:tc>
      </w:tr>
      <w:tr w:rsidR="006F2EBB" w:rsidRPr="0068638F" w14:paraId="7C6BC521"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85F893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The submitted single-line diagram, layout, equipment schedule, and protection schedule are current and consistent with this form.</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200B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Confirmed / Not confirmed</w:t>
            </w:r>
          </w:p>
        </w:tc>
      </w:tr>
      <w:tr w:rsidR="006F2EBB" w:rsidRPr="0068638F" w14:paraId="5223A18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D767D6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The project will comply with the Distribution Code, Metering Code, applicable safety requirements, and Commission directions.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5B66A9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Confirmed / Not confirmed</w:t>
            </w:r>
          </w:p>
        </w:tc>
      </w:tr>
      <w:tr w:rsidR="006F2EBB" w:rsidRPr="0068638F" w14:paraId="7F38F44E"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BF7C7BA" w14:textId="4D9F8BBD" w:rsidR="006F2EBB" w:rsidRPr="0068638F" w:rsidRDefault="00704750" w:rsidP="00E03240">
            <w:pPr>
              <w:spacing w:after="80" w:line="264" w:lineRule="auto"/>
              <w:ind w:left="0" w:right="0" w:firstLine="0"/>
              <w:rPr>
                <w:rFonts w:ascii="Futura" w:eastAsia="MS Mincho" w:hAnsi="Futura" w:cs="Futura"/>
                <w:color w:val="auto"/>
                <w:sz w:val="24"/>
                <w:szCs w:val="24"/>
              </w:rPr>
            </w:pPr>
            <w:r>
              <w:rPr>
                <w:rFonts w:ascii="Futura" w:eastAsia="MS Mincho" w:hAnsi="Futura" w:cs="Futura"/>
                <w:color w:val="auto"/>
                <w:sz w:val="24"/>
                <w:szCs w:val="24"/>
              </w:rPr>
              <w:t>Name/signature/date</w:t>
            </w:r>
            <w:r w:rsidR="006F2EBB" w:rsidRPr="0068638F">
              <w:rPr>
                <w:rFonts w:ascii="Futura" w:eastAsia="MS Mincho" w:hAnsi="Futura" w:cs="Futura"/>
                <w:color w:val="auto"/>
                <w:sz w:val="24"/>
                <w:szCs w:val="24"/>
              </w:rPr>
              <w:t xml:space="preserve"> of competent technical signatory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B5F9B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470161F3"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H. Distribution Licensee Review Outcome</w:t>
      </w:r>
    </w:p>
    <w:tbl>
      <w:tblPr>
        <w:tblStyle w:val="TableGrid"/>
        <w:tblW w:w="0" w:type="auto"/>
        <w:tblLook w:val="06A0" w:firstRow="1" w:lastRow="0" w:firstColumn="1" w:lastColumn="0" w:noHBand="1" w:noVBand="1"/>
      </w:tblPr>
      <w:tblGrid>
        <w:gridCol w:w="4501"/>
        <w:gridCol w:w="4499"/>
      </w:tblGrid>
      <w:tr w:rsidR="006F2EBB" w:rsidRPr="0068638F" w14:paraId="13E69A60"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1B178CC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181996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Distribution Licensee entry</w:t>
            </w:r>
          </w:p>
        </w:tc>
      </w:tr>
      <w:tr w:rsidR="006F2EBB" w:rsidRPr="0068638F" w14:paraId="21EBB51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0BD10E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Short-form SIS status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03DE7A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Accepted / Accepted with conditions / Rejected</w:t>
            </w:r>
          </w:p>
        </w:tc>
      </w:tr>
      <w:tr w:rsidR="006F2EBB" w:rsidRPr="0068638F" w14:paraId="733493A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A8E6C79" w14:textId="50F37461"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If accepted with conditions, state </w:t>
            </w:r>
            <w:r w:rsidR="00704750">
              <w:rPr>
                <w:rFonts w:ascii="Futura" w:eastAsia="MS Mincho" w:hAnsi="Futura" w:cs="Futura"/>
                <w:color w:val="auto"/>
                <w:sz w:val="24"/>
                <w:szCs w:val="24"/>
              </w:rPr>
              <w:t xml:space="preserve">the </w:t>
            </w:r>
            <w:r w:rsidRPr="0068638F">
              <w:rPr>
                <w:rFonts w:ascii="Futura" w:eastAsia="MS Mincho" w:hAnsi="Futura" w:cs="Futura"/>
                <w:color w:val="auto"/>
                <w:sz w:val="24"/>
                <w:szCs w:val="24"/>
              </w:rPr>
              <w:t>conditions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4E43E3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1AA429DA"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3118AA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If rejected, state specific technical reasons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00A41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DC5A3E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6E650B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Additional information required, if any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CB318A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48EACEDA"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22D715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Reviewer name, title, signature, and date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461043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730E4F31"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Short-Form System Impact Study Confirmation – Minimum Submission Checklist</w:t>
      </w:r>
    </w:p>
    <w:tbl>
      <w:tblPr>
        <w:tblStyle w:val="TableGrid"/>
        <w:tblW w:w="0" w:type="auto"/>
        <w:tblLook w:val="06A0" w:firstRow="1" w:lastRow="0" w:firstColumn="1" w:lastColumn="0" w:noHBand="1" w:noVBand="1"/>
      </w:tblPr>
      <w:tblGrid>
        <w:gridCol w:w="3033"/>
        <w:gridCol w:w="2885"/>
        <w:gridCol w:w="3082"/>
      </w:tblGrid>
      <w:tr w:rsidR="006F2EBB" w:rsidRPr="0068638F" w14:paraId="7C0853BE"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7010E6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Submission Item</w:t>
            </w:r>
          </w:p>
        </w:tc>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4E91513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 for all operating modes?</w:t>
            </w:r>
          </w:p>
        </w:tc>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7E58AB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Notes</w:t>
            </w:r>
          </w:p>
        </w:tc>
      </w:tr>
      <w:tr w:rsidR="006F2EBB" w:rsidRPr="0068638F" w14:paraId="1AACC908"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6818D1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Application cover letter</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0FA3B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08B24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Identify feeder, PCC, and requested review path.</w:t>
            </w:r>
          </w:p>
        </w:tc>
      </w:tr>
      <w:tr w:rsidR="006F2EBB" w:rsidRPr="0068638F" w14:paraId="6569D8B7"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1A8ECF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Single-line diagram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8973D8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D21669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Shall clearly show PCC, metering, protection, PV, battery, controller, and any backup source.</w:t>
            </w:r>
          </w:p>
        </w:tc>
      </w:tr>
      <w:tr w:rsidR="006F2EBB" w:rsidRPr="0068638F" w14:paraId="27BF041B"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8ABDC3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Site layout</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42C0DD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91C8FA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Include switchgear, battery enclosure, earthing, access, and emergency isolation points.</w:t>
            </w:r>
          </w:p>
        </w:tc>
      </w:tr>
      <w:tr w:rsidR="006F2EBB" w:rsidRPr="0068638F" w14:paraId="78309C73"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60D59D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Equipment schedule and datasheets</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93DA69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D2CBBE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PV modules, inverters, battery, protection devices, breakers, meters, plant controller.</w:t>
            </w:r>
          </w:p>
        </w:tc>
      </w:tr>
      <w:tr w:rsidR="006F2EBB" w:rsidRPr="0068638F" w14:paraId="7E717C71"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EECF5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Protection schedule and proposed settings</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94A48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879A9B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Provide functions and setpoints proposed for validation.</w:t>
            </w:r>
          </w:p>
        </w:tc>
      </w:tr>
      <w:tr w:rsidR="006F2EBB" w:rsidRPr="0068638F" w14:paraId="24509B67"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2BFF18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Battery control philosophy</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8A10F2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5CFE9F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Explain backup, charge/discharge, import/export, and any islanded operation logic.</w:t>
            </w:r>
          </w:p>
        </w:tc>
      </w:tr>
      <w:tr w:rsidR="006F2EBB" w:rsidRPr="0068638F" w14:paraId="18D7C8E4"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36687F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reference</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7C29B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959106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Identify </w:t>
            </w: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issue date and feeder record relied upon.</w:t>
            </w:r>
          </w:p>
        </w:tc>
      </w:tr>
      <w:tr w:rsidR="006F2EBB" w:rsidRPr="0068638F" w14:paraId="1D0D7482"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9429B8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Export limit declaration</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54AB6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Export-enabled only</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A40A52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no export, fixed export limit, or managed export control.</w:t>
            </w:r>
          </w:p>
        </w:tc>
      </w:tr>
      <w:tr w:rsidR="006F2EBB" w:rsidRPr="0068638F" w14:paraId="6677BD3E"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83B6BE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Communications description</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AA6699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Export-enabled only</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D2E5B7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Describe meter visibility, telemetry, alarms, remote setpoints where applicable.</w:t>
            </w:r>
          </w:p>
        </w:tc>
      </w:tr>
      <w:tr w:rsidR="006F2EBB" w:rsidRPr="0068638F" w14:paraId="27E67856"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AA3EBA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Competent person declaration</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93863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All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F908FB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Signed by responsible engineer or competent technical representative.</w:t>
            </w:r>
          </w:p>
        </w:tc>
      </w:tr>
    </w:tbl>
    <w:p w14:paraId="4FA343B2"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lastRenderedPageBreak/>
        <w:t xml:space="preserve"> </w:t>
      </w:r>
    </w:p>
    <w:p w14:paraId="4568F64E"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APPENDIX 3</w:t>
      </w:r>
    </w:p>
    <w:p w14:paraId="66BDE4BA"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Minimum Hosting Capacity Information Template</w:t>
      </w:r>
    </w:p>
    <w:p w14:paraId="1DFC9DF9"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This template shall be published by each Distribution Licensee in the form approved by the Commission and updated at the frequency directed by the Commission.</w:t>
      </w:r>
    </w:p>
    <w:p w14:paraId="7F450A3B"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A. Publication Metadata</w:t>
      </w:r>
    </w:p>
    <w:tbl>
      <w:tblPr>
        <w:tblStyle w:val="TableGrid"/>
        <w:tblW w:w="0" w:type="auto"/>
        <w:tblLook w:val="06A0" w:firstRow="1" w:lastRow="0" w:firstColumn="1" w:lastColumn="0" w:noHBand="1" w:noVBand="1"/>
      </w:tblPr>
      <w:tblGrid>
        <w:gridCol w:w="4550"/>
        <w:gridCol w:w="4450"/>
      </w:tblGrid>
      <w:tr w:rsidR="006F2EBB" w:rsidRPr="0068638F" w14:paraId="2AE8ACB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16A6832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D02439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Information to be completed by Distribution Licensee</w:t>
            </w:r>
          </w:p>
        </w:tc>
      </w:tr>
      <w:tr w:rsidR="006F2EBB" w:rsidRPr="0068638F" w14:paraId="1E9524C4"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B36915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Distribution Licensee</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71AA0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563F261B"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B03297" w14:textId="28767AE2"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Publication </w:t>
            </w:r>
            <w:r w:rsidR="00AF5F34">
              <w:rPr>
                <w:rFonts w:ascii="Futura" w:eastAsia="MS Mincho" w:hAnsi="Futura" w:cs="Futura"/>
                <w:color w:val="auto"/>
                <w:sz w:val="24"/>
                <w:szCs w:val="24"/>
              </w:rPr>
              <w:t>reference/version</w:t>
            </w:r>
            <w:r w:rsidRPr="0068638F">
              <w:rPr>
                <w:rFonts w:ascii="Futura" w:eastAsia="MS Mincho" w:hAnsi="Futura" w:cs="Futura"/>
                <w:color w:val="auto"/>
                <w:sz w:val="24"/>
                <w:szCs w:val="24"/>
              </w:rPr>
              <w:t xml:space="preserve"> number</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491BE5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1E9F1A38"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FA5BD3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Date of publication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59A86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3DA6A1B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8BD87C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Period of validity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A0F727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6E8A89B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C968761" w14:textId="4F169FD9"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Responsible </w:t>
            </w:r>
            <w:r w:rsidR="00AF5F34">
              <w:rPr>
                <w:rFonts w:ascii="Futura" w:eastAsia="MS Mincho" w:hAnsi="Futura" w:cs="Futura"/>
                <w:color w:val="auto"/>
                <w:sz w:val="24"/>
                <w:szCs w:val="24"/>
              </w:rPr>
              <w:t>office/contact</w:t>
            </w:r>
            <w:r w:rsidRPr="0068638F">
              <w:rPr>
                <w:rFonts w:ascii="Futura" w:eastAsia="MS Mincho" w:hAnsi="Futura" w:cs="Futura"/>
                <w:color w:val="auto"/>
                <w:sz w:val="24"/>
                <w:szCs w:val="24"/>
              </w:rPr>
              <w:t xml:space="preserve"> for clarification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5D459E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53D27A10"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B. Feeder-Level Hosting Capacity Information Table</w:t>
      </w:r>
    </w:p>
    <w:tbl>
      <w:tblPr>
        <w:tblStyle w:val="TableGrid"/>
        <w:tblW w:w="0" w:type="auto"/>
        <w:tblLook w:val="06A0" w:firstRow="1" w:lastRow="0" w:firstColumn="1" w:lastColumn="0" w:noHBand="1" w:noVBand="1"/>
      </w:tblPr>
      <w:tblGrid>
        <w:gridCol w:w="678"/>
        <w:gridCol w:w="923"/>
        <w:gridCol w:w="744"/>
        <w:gridCol w:w="803"/>
        <w:gridCol w:w="871"/>
        <w:gridCol w:w="871"/>
        <w:gridCol w:w="961"/>
        <w:gridCol w:w="1060"/>
        <w:gridCol w:w="1279"/>
        <w:gridCol w:w="810"/>
      </w:tblGrid>
      <w:tr w:rsidR="006F2EBB" w:rsidRPr="0068638F" w14:paraId="37746D21"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4CA19B6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Feeder Name / Code</w:t>
            </w:r>
          </w:p>
        </w:tc>
        <w:tc>
          <w:tcPr>
            <w:tcW w:w="944"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ED3348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Supplying Substation</w:t>
            </w:r>
          </w:p>
        </w:tc>
        <w:tc>
          <w:tcPr>
            <w:tcW w:w="694"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792F9C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Voltage Level</w:t>
            </w:r>
          </w:p>
        </w:tc>
        <w:tc>
          <w:tcPr>
            <w:tcW w:w="800"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1C85464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Network Type / Radial Status</w:t>
            </w:r>
          </w:p>
        </w:tc>
        <w:tc>
          <w:tcPr>
            <w:tcW w:w="863"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FE6A6E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Import Capacity at PCC</w:t>
            </w:r>
          </w:p>
        </w:tc>
        <w:tc>
          <w:tcPr>
            <w:tcW w:w="863"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0E9CD45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Export Capacity at PCC</w:t>
            </w:r>
          </w:p>
        </w:tc>
        <w:tc>
          <w:tcPr>
            <w:tcW w:w="94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18AD5D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Applicable Operating Mode Supported</w:t>
            </w:r>
          </w:p>
        </w:tc>
        <w:tc>
          <w:tcPr>
            <w:tcW w:w="1081"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63A507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Known Operational / Protection Limits</w:t>
            </w:r>
          </w:p>
        </w:tc>
        <w:tc>
          <w:tcPr>
            <w:tcW w:w="1367"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62E3B1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Standard Interconnection Conditions</w:t>
            </w:r>
          </w:p>
        </w:tc>
        <w:tc>
          <w:tcPr>
            <w:tcW w:w="774"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669D312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Date Last Updated</w:t>
            </w:r>
          </w:p>
        </w:tc>
      </w:tr>
      <w:tr w:rsidR="006F2EBB" w:rsidRPr="0068638F" w14:paraId="5633CF53"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88B666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6E447F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EA9EB0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AA680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F64968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0EF7A4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E33E43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7C60E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20A74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BD09F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2869124"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CA57C6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A1EEF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659E72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2069AF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272D11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9CD1CE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CDAB2D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0AE12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56C7E4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E35D70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F620409"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F7AE01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7F33C7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963ECA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97AEF2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C358A4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05A65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CCB69CA"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2A652D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1C4974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DED9B0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2157418B"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E419D9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6479F4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4B5E5B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13B956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5DF28B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D2908D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A43C65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51DBD7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0FA7CB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48F1CF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r w:rsidR="006F2EBB" w:rsidRPr="0068638F" w14:paraId="704FC094" w14:textId="77777777" w:rsidTr="00E03240">
        <w:trPr>
          <w:trHeight w:val="300"/>
        </w:trPr>
        <w:tc>
          <w:tcPr>
            <w:tcW w:w="68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7A429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C5A12F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69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697012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00"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A1364A9"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509677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863"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4D2D8F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94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7DA06B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081"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2419BC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1367"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01618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c>
          <w:tcPr>
            <w:tcW w:w="774"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207623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 </w:t>
            </w:r>
          </w:p>
        </w:tc>
      </w:tr>
    </w:tbl>
    <w:p w14:paraId="3E9BDD7D"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C. Minimum Field Notes and Assumptions</w:t>
      </w:r>
    </w:p>
    <w:tbl>
      <w:tblPr>
        <w:tblStyle w:val="TableGrid"/>
        <w:tblW w:w="0" w:type="auto"/>
        <w:tblLook w:val="06A0" w:firstRow="1" w:lastRow="0" w:firstColumn="1" w:lastColumn="0" w:noHBand="1" w:noVBand="1"/>
      </w:tblPr>
      <w:tblGrid>
        <w:gridCol w:w="4495"/>
        <w:gridCol w:w="4505"/>
      </w:tblGrid>
      <w:tr w:rsidR="006F2EBB" w:rsidRPr="0068638F" w14:paraId="0D66B146"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C8CC83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Field / Topic</w:t>
            </w:r>
          </w:p>
        </w:tc>
        <w:tc>
          <w:tcPr>
            <w:tcW w:w="49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3FE9F4F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Required description</w:t>
            </w:r>
          </w:p>
        </w:tc>
      </w:tr>
      <w:tr w:rsidR="006F2EBB" w:rsidRPr="0068638F" w14:paraId="490BDFC3"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AB773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Import Capacity at PCC</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80A2A7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the approximate maximum additional import capability that may be accommodated at the referenced feeder location under normal planning assumptions.</w:t>
            </w:r>
          </w:p>
        </w:tc>
      </w:tr>
      <w:tr w:rsidR="006F2EBB" w:rsidRPr="0068638F" w14:paraId="27B8A21D"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7940F15"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Export Capacity at PCC</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613914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the approximate maximum export capability that may be accommodated without triggering a full SIS, subject to project conformance with the applicable operating mode and the standard technical conditions prescribed in Schedule 15 to these Regulations.</w:t>
            </w:r>
          </w:p>
        </w:tc>
      </w:tr>
      <w:tr w:rsidR="006F2EBB" w:rsidRPr="0068638F" w14:paraId="087CCF67"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130062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Applicable Operating Mode Supported</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68FB48" w14:textId="01EF1BB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whether the feeder is suitable for non-export only, limited export, or managed export, and identify any capacity band, operating restriction, communication requirement or control </w:t>
            </w:r>
            <w:r w:rsidR="000C0C76">
              <w:rPr>
                <w:rFonts w:ascii="Futura" w:eastAsia="MS Mincho" w:hAnsi="Futura" w:cs="Futura"/>
                <w:color w:val="auto"/>
                <w:sz w:val="24"/>
                <w:szCs w:val="24"/>
              </w:rPr>
              <w:t>condition</w:t>
            </w:r>
            <w:r w:rsidRPr="0068638F">
              <w:rPr>
                <w:rFonts w:ascii="Futura" w:eastAsia="MS Mincho" w:hAnsi="Futura" w:cs="Futura"/>
                <w:color w:val="auto"/>
                <w:sz w:val="24"/>
                <w:szCs w:val="24"/>
              </w:rPr>
              <w:t xml:space="preserve"> attached to that classification.</w:t>
            </w:r>
          </w:p>
        </w:tc>
      </w:tr>
      <w:tr w:rsidR="006F2EBB" w:rsidRPr="0068638F" w14:paraId="435288D9"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2D588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Known Operational / Protection Limits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1A99F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any known reverse power flow limitations, protection constraints, voltage concerns, reliability concerns, or operating restrictions relevant to interconnection.</w:t>
            </w:r>
          </w:p>
        </w:tc>
      </w:tr>
      <w:tr w:rsidR="006F2EBB" w:rsidRPr="0068638F" w14:paraId="2A09CBBC"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058C82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Standard Interconnection Conditions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904039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any standard requirements for metering, telemetry, breaker type, export limiter, PCC arrangement, outage coordination, or testing that ordinarily apply on the feeder.</w:t>
            </w:r>
          </w:p>
        </w:tc>
      </w:tr>
      <w:tr w:rsidR="006F2EBB" w:rsidRPr="0068638F" w14:paraId="3C9DD642"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4D9C117"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Validity of </w:t>
            </w:r>
            <w:r w:rsidRPr="0068638F">
              <w:rPr>
                <w:rFonts w:ascii="Futura" w:eastAsia="MS Mincho" w:hAnsi="Futura" w:cs="Futura"/>
                <w:color w:val="auto"/>
                <w:sz w:val="24"/>
                <w:szCs w:val="24"/>
                <w:lang w:val="en-US"/>
              </w:rPr>
              <w:t>Hosting Capacity Information</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0D1685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the period for which the </w:t>
            </w:r>
            <w:r w:rsidRPr="0068638F">
              <w:rPr>
                <w:rFonts w:ascii="Futura" w:eastAsia="MS Mincho" w:hAnsi="Futura" w:cs="Futura"/>
                <w:color w:val="auto"/>
                <w:sz w:val="24"/>
                <w:szCs w:val="24"/>
                <w:lang w:val="en-US"/>
              </w:rPr>
              <w:t>Hosting Capacity Information</w:t>
            </w:r>
            <w:r w:rsidRPr="0068638F">
              <w:rPr>
                <w:rFonts w:ascii="Futura" w:eastAsia="MS Mincho" w:hAnsi="Futura" w:cs="Futura"/>
                <w:color w:val="auto"/>
                <w:sz w:val="24"/>
                <w:szCs w:val="24"/>
              </w:rPr>
              <w:t xml:space="preserve"> is considered current, after which the Distribution Licensee may require refreshed confirmation.</w:t>
            </w:r>
          </w:p>
        </w:tc>
      </w:tr>
      <w:tr w:rsidR="006F2EBB" w:rsidRPr="0068638F" w14:paraId="72F50D7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E3182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Basis of Values</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C61E759" w14:textId="30500E18"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whether the published values are based on studies, feeder data, planning assumptions, historical loading, engineering </w:t>
            </w:r>
            <w:r w:rsidR="000C0C76">
              <w:rPr>
                <w:rFonts w:ascii="Futura" w:eastAsia="MS Mincho" w:hAnsi="Futura" w:cs="Futura"/>
                <w:color w:val="auto"/>
                <w:sz w:val="24"/>
                <w:szCs w:val="24"/>
              </w:rPr>
              <w:t>estimates</w:t>
            </w:r>
            <w:r w:rsidRPr="0068638F">
              <w:rPr>
                <w:rFonts w:ascii="Futura" w:eastAsia="MS Mincho" w:hAnsi="Futura" w:cs="Futura"/>
                <w:color w:val="auto"/>
                <w:sz w:val="24"/>
                <w:szCs w:val="24"/>
              </w:rPr>
              <w:t xml:space="preserve">, or </w:t>
            </w:r>
            <w:proofErr w:type="gramStart"/>
            <w:r w:rsidRPr="0068638F">
              <w:rPr>
                <w:rFonts w:ascii="Futura" w:eastAsia="MS Mincho" w:hAnsi="Futura" w:cs="Futura"/>
                <w:color w:val="auto"/>
                <w:sz w:val="24"/>
                <w:szCs w:val="24"/>
              </w:rPr>
              <w:t>other</w:t>
            </w:r>
            <w:proofErr w:type="gramEnd"/>
            <w:r w:rsidRPr="0068638F">
              <w:rPr>
                <w:rFonts w:ascii="Futura" w:eastAsia="MS Mincho" w:hAnsi="Futura" w:cs="Futura"/>
                <w:color w:val="auto"/>
                <w:sz w:val="24"/>
                <w:szCs w:val="24"/>
              </w:rPr>
              <w:t xml:space="preserve"> Commission-accepted basis.</w:t>
            </w:r>
          </w:p>
        </w:tc>
      </w:tr>
      <w:tr w:rsidR="006F2EBB" w:rsidRPr="0068638F" w14:paraId="2BEAAE3A"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E12305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Important Caveat</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AD4AC8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that the </w:t>
            </w:r>
            <w:r w:rsidRPr="0068638F">
              <w:rPr>
                <w:rFonts w:ascii="Futura" w:eastAsia="MS Mincho" w:hAnsi="Futura" w:cs="Futura"/>
                <w:color w:val="auto"/>
                <w:sz w:val="24"/>
                <w:szCs w:val="24"/>
                <w:lang w:val="en-US"/>
              </w:rPr>
              <w:t xml:space="preserve">Hosting Capacity Information </w:t>
            </w:r>
            <w:r w:rsidRPr="0068638F">
              <w:rPr>
                <w:rFonts w:ascii="Futura" w:eastAsia="MS Mincho" w:hAnsi="Futura" w:cs="Futura"/>
                <w:color w:val="auto"/>
                <w:sz w:val="24"/>
                <w:szCs w:val="24"/>
              </w:rPr>
              <w:t xml:space="preserve">is indicative and does not of itself create a right to connect or </w:t>
            </w:r>
            <w:proofErr w:type="gramStart"/>
            <w:r w:rsidRPr="0068638F">
              <w:rPr>
                <w:rFonts w:ascii="Futura" w:eastAsia="MS Mincho" w:hAnsi="Futura" w:cs="Futura"/>
                <w:color w:val="auto"/>
                <w:sz w:val="24"/>
                <w:szCs w:val="24"/>
              </w:rPr>
              <w:t>energise, but</w:t>
            </w:r>
            <w:proofErr w:type="gramEnd"/>
            <w:r w:rsidRPr="0068638F">
              <w:rPr>
                <w:rFonts w:ascii="Futura" w:eastAsia="MS Mincho" w:hAnsi="Futura" w:cs="Futura"/>
                <w:color w:val="auto"/>
                <w:sz w:val="24"/>
                <w:szCs w:val="24"/>
              </w:rPr>
              <w:t xml:space="preserve"> may support the simplified pathway where the project conforms to the applicable operating mode and technical conditions.</w:t>
            </w:r>
          </w:p>
        </w:tc>
      </w:tr>
      <w:tr w:rsidR="006F2EBB" w:rsidRPr="0068638F" w14:paraId="447DEAA5" w14:textId="77777777" w:rsidTr="00E03240">
        <w:trPr>
          <w:trHeight w:val="300"/>
        </w:trPr>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52AA6F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Update Frequency</w:t>
            </w:r>
          </w:p>
        </w:tc>
        <w:tc>
          <w:tcPr>
            <w:tcW w:w="4968"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054E910"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State the minimum frequency of update and the trigger for unscheduled revision where feeder conditions materially change.</w:t>
            </w:r>
          </w:p>
        </w:tc>
      </w:tr>
    </w:tbl>
    <w:p w14:paraId="301297AD" w14:textId="77777777" w:rsidR="000C0C76" w:rsidRDefault="000C0C76" w:rsidP="006F2EBB">
      <w:pPr>
        <w:spacing w:after="80" w:line="264" w:lineRule="auto"/>
        <w:ind w:left="0" w:right="0" w:firstLine="0"/>
        <w:rPr>
          <w:rFonts w:ascii="Futura" w:eastAsia="MS Mincho" w:hAnsi="Futura" w:cs="Futura"/>
          <w:color w:val="auto"/>
          <w:sz w:val="24"/>
          <w:szCs w:val="24"/>
          <w:lang w:val="en-US"/>
        </w:rPr>
      </w:pPr>
    </w:p>
    <w:p w14:paraId="2D9FA1FF" w14:textId="45F701F3"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D. Use of the Template</w:t>
      </w:r>
    </w:p>
    <w:p w14:paraId="6016763F"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The Distribution Licensee shall publish the feeder-level table in an editable and searchable format approved by the Commission. Each row shall correspond to a distinct feeder or clearly defined feeder segment relevant to mini-grid interconnection planning.</w:t>
      </w:r>
    </w:p>
    <w:p w14:paraId="58C33B15"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Where the Distribution Licensee does not have sufficient feeder-level data to populate a field precisely, the field shall be completed using the best available engineering estimate together with a note on the basis used and any material limitation of that estimate.</w:t>
      </w:r>
    </w:p>
    <w:p w14:paraId="54BE798E"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r w:rsidRPr="0068638F">
        <w:rPr>
          <w:rFonts w:ascii="Futura" w:eastAsia="MS Mincho" w:hAnsi="Futura" w:cs="Futura"/>
          <w:color w:val="auto"/>
          <w:sz w:val="24"/>
          <w:szCs w:val="24"/>
          <w:lang w:val="en-US"/>
        </w:rPr>
        <w:t>Minimum Hosting Capacity Information Template – Field Summary</w:t>
      </w:r>
    </w:p>
    <w:tbl>
      <w:tblPr>
        <w:tblStyle w:val="TableGrid"/>
        <w:tblW w:w="0" w:type="auto"/>
        <w:tblLook w:val="06A0" w:firstRow="1" w:lastRow="0" w:firstColumn="1" w:lastColumn="0" w:noHBand="1" w:noVBand="1"/>
      </w:tblPr>
      <w:tblGrid>
        <w:gridCol w:w="3020"/>
        <w:gridCol w:w="2990"/>
        <w:gridCol w:w="2990"/>
      </w:tblGrid>
      <w:tr w:rsidR="006F2EBB" w:rsidRPr="0068638F" w14:paraId="0E3B4948"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2A4A302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Field</w:t>
            </w:r>
          </w:p>
        </w:tc>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7B2518E8"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 / Optional</w:t>
            </w:r>
          </w:p>
        </w:tc>
        <w:tc>
          <w:tcPr>
            <w:tcW w:w="331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80" w:type="dxa"/>
              <w:left w:w="90" w:type="dxa"/>
              <w:bottom w:w="80" w:type="dxa"/>
              <w:right w:w="90" w:type="dxa"/>
            </w:tcMar>
            <w:vAlign w:val="center"/>
          </w:tcPr>
          <w:p w14:paraId="593981F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Guidance</w:t>
            </w:r>
          </w:p>
        </w:tc>
      </w:tr>
      <w:tr w:rsidR="006F2EBB" w:rsidRPr="0068638F" w14:paraId="6C7057F8"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770841" w14:textId="13C3EB3E"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Feeder </w:t>
            </w:r>
            <w:r w:rsidR="00770968">
              <w:rPr>
                <w:rFonts w:ascii="Futura" w:eastAsia="MS Mincho" w:hAnsi="Futura" w:cs="Futura"/>
                <w:color w:val="auto"/>
                <w:sz w:val="24"/>
                <w:szCs w:val="24"/>
              </w:rPr>
              <w:t>name/code</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88468D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AB63DD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Use the official feeder identifier used by the Distribution Licensee.</w:t>
            </w:r>
          </w:p>
        </w:tc>
      </w:tr>
      <w:tr w:rsidR="006F2EBB" w:rsidRPr="0068638F" w14:paraId="49A7DFB5"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CEBBBA2"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Voltage level</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A89F71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9D9F564"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Specify LV, 11 kV, 33 kV, or other approved class.</w:t>
            </w:r>
          </w:p>
        </w:tc>
      </w:tr>
      <w:tr w:rsidR="006F2EBB" w:rsidRPr="0068638F" w14:paraId="406D2DDE"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83E0F8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lastRenderedPageBreak/>
              <w:t>Supplying injection substation</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0FE7642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AFABE8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Where applicable.</w:t>
            </w:r>
          </w:p>
        </w:tc>
      </w:tr>
      <w:tr w:rsidR="006F2EBB" w:rsidRPr="0068638F" w14:paraId="3A76B36C"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7858726" w14:textId="1AF634C6"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Date </w:t>
            </w:r>
            <w:r w:rsidR="00770968">
              <w:rPr>
                <w:rFonts w:ascii="Futura" w:eastAsia="MS Mincho" w:hAnsi="Futura" w:cs="Futura"/>
                <w:color w:val="auto"/>
                <w:sz w:val="24"/>
                <w:szCs w:val="24"/>
              </w:rPr>
              <w:t>issued/updated</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89E8D0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5961A2B" w14:textId="6C733211"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 xml:space="preserve">State </w:t>
            </w:r>
            <w:r w:rsidR="00770968">
              <w:rPr>
                <w:rFonts w:ascii="Futura" w:eastAsia="MS Mincho" w:hAnsi="Futura" w:cs="Futura"/>
                <w:color w:val="auto"/>
                <w:sz w:val="24"/>
                <w:szCs w:val="24"/>
              </w:rPr>
              <w:t xml:space="preserve">the </w:t>
            </w:r>
            <w:r w:rsidRPr="0068638F">
              <w:rPr>
                <w:rFonts w:ascii="Futura" w:eastAsia="MS Mincho" w:hAnsi="Futura" w:cs="Futura"/>
                <w:color w:val="auto"/>
                <w:sz w:val="24"/>
                <w:szCs w:val="24"/>
              </w:rPr>
              <w:t>date of last update and validity horizon.</w:t>
            </w:r>
          </w:p>
        </w:tc>
      </w:tr>
      <w:tr w:rsidR="006F2EBB" w:rsidRPr="0068638F" w14:paraId="23119A76"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6CDFADE"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import capacity at PCC</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571DFF2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4D323C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May be stated as feeder-level indicative capacity subject to site confirmation.</w:t>
            </w:r>
          </w:p>
        </w:tc>
      </w:tr>
      <w:tr w:rsidR="006F2EBB" w:rsidRPr="0068638F" w14:paraId="125F75A3"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55F67A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Indicative export headroom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6819244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Optional but recommended</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79175C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Especially important where the simplified export pathway is contemplated.</w:t>
            </w:r>
          </w:p>
        </w:tc>
      </w:tr>
      <w:tr w:rsidR="006F2EBB" w:rsidRPr="0068638F" w14:paraId="4F9586C9"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3309FB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Known operational limitations</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B6D185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34B6CB1"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For example, protection deficiency, chronic low voltage, overload constraints, or outage constraints.</w:t>
            </w:r>
          </w:p>
        </w:tc>
      </w:tr>
      <w:tr w:rsidR="006F2EBB" w:rsidRPr="0068638F" w14:paraId="60BB7FEC"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660A79C"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Standard interconnection conditions</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350AD64D"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Minimum</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7BCC1E83"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Any standard restrictions, settings, export caps, telemetry expectations.</w:t>
            </w:r>
          </w:p>
        </w:tc>
      </w:tr>
      <w:tr w:rsidR="006F2EBB" w:rsidRPr="0068638F" w14:paraId="42912317" w14:textId="77777777" w:rsidTr="00E03240">
        <w:trPr>
          <w:trHeight w:val="300"/>
        </w:trPr>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14277626"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Existing embedded generation / IMG</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48EC5B7B"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Optional but recommended</w:t>
            </w:r>
          </w:p>
        </w:tc>
        <w:tc>
          <w:tcPr>
            <w:tcW w:w="3312" w:type="dxa"/>
            <w:tcBorders>
              <w:top w:val="single" w:sz="8" w:space="0" w:color="auto"/>
              <w:left w:val="single" w:sz="8" w:space="0" w:color="auto"/>
              <w:bottom w:val="single" w:sz="8" w:space="0" w:color="auto"/>
              <w:right w:val="single" w:sz="8" w:space="0" w:color="auto"/>
            </w:tcBorders>
            <w:tcMar>
              <w:top w:w="80" w:type="dxa"/>
              <w:left w:w="90" w:type="dxa"/>
              <w:bottom w:w="80" w:type="dxa"/>
              <w:right w:w="90" w:type="dxa"/>
            </w:tcMar>
            <w:vAlign w:val="center"/>
          </w:tcPr>
          <w:p w14:paraId="2E7E690F" w14:textId="77777777" w:rsidR="006F2EBB" w:rsidRPr="0068638F" w:rsidRDefault="006F2EBB" w:rsidP="00E03240">
            <w:pPr>
              <w:spacing w:after="80" w:line="264" w:lineRule="auto"/>
              <w:ind w:left="0" w:right="0" w:firstLine="0"/>
              <w:rPr>
                <w:rFonts w:ascii="Futura" w:eastAsia="MS Mincho" w:hAnsi="Futura" w:cs="Futura"/>
                <w:color w:val="auto"/>
                <w:sz w:val="24"/>
                <w:szCs w:val="24"/>
              </w:rPr>
            </w:pPr>
            <w:r w:rsidRPr="0068638F">
              <w:rPr>
                <w:rFonts w:ascii="Futura" w:eastAsia="MS Mincho" w:hAnsi="Futura" w:cs="Futura"/>
                <w:color w:val="auto"/>
                <w:sz w:val="24"/>
                <w:szCs w:val="24"/>
              </w:rPr>
              <w:t>Useful for cumulative penetration assessment.</w:t>
            </w:r>
          </w:p>
        </w:tc>
      </w:tr>
    </w:tbl>
    <w:p w14:paraId="54FBFD80" w14:textId="77777777" w:rsidR="006F2EBB" w:rsidRPr="0068638F" w:rsidRDefault="006F2EBB" w:rsidP="006F2EBB">
      <w:pPr>
        <w:spacing w:after="80" w:line="264" w:lineRule="auto"/>
        <w:ind w:left="0" w:right="0" w:firstLine="0"/>
        <w:rPr>
          <w:rFonts w:ascii="Futura" w:eastAsia="MS Mincho" w:hAnsi="Futura" w:cs="Futura"/>
          <w:color w:val="auto"/>
          <w:sz w:val="24"/>
          <w:szCs w:val="24"/>
          <w:lang w:val="en-US"/>
        </w:rPr>
      </w:pPr>
    </w:p>
    <w:p w14:paraId="77992A5F" w14:textId="77777777" w:rsidR="0001685B" w:rsidRDefault="0001685B"/>
    <w:sectPr w:rsidR="0001685B" w:rsidSect="006F2EBB">
      <w:pgSz w:w="11900" w:h="16840"/>
      <w:pgMar w:top="1440" w:right="1440" w:bottom="1440" w:left="1440" w:header="720" w:footer="726" w:gutter="0"/>
      <w:cols w:space="720"/>
      <w:titlePg/>
      <w:docGrid w:linePitch="3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Bk">
    <w:panose1 w:val="020B0502020204020303"/>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w:panose1 w:val="020B0602020204020303"/>
    <w:charset w:val="00"/>
    <w:family w:val="swiss"/>
    <w:pitch w:val="variable"/>
    <w:sig w:usb0="A00028E7" w:usb1="00000000" w:usb2="00000000" w:usb3="00000000" w:csb0="000001FB" w:csb1="00000000"/>
  </w:font>
  <w:font w:name="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EBB"/>
    <w:rsid w:val="0001685B"/>
    <w:rsid w:val="000C0C76"/>
    <w:rsid w:val="00127244"/>
    <w:rsid w:val="00175F88"/>
    <w:rsid w:val="001E4598"/>
    <w:rsid w:val="00262908"/>
    <w:rsid w:val="002B3B9F"/>
    <w:rsid w:val="003A761E"/>
    <w:rsid w:val="00565A6D"/>
    <w:rsid w:val="006217BB"/>
    <w:rsid w:val="00621AC9"/>
    <w:rsid w:val="006F2EBB"/>
    <w:rsid w:val="00704750"/>
    <w:rsid w:val="00770968"/>
    <w:rsid w:val="00861932"/>
    <w:rsid w:val="00892607"/>
    <w:rsid w:val="008B2236"/>
    <w:rsid w:val="00947EB7"/>
    <w:rsid w:val="00AF5F34"/>
    <w:rsid w:val="00BD3E30"/>
    <w:rsid w:val="00C91614"/>
    <w:rsid w:val="00D24F2A"/>
    <w:rsid w:val="00DB45DA"/>
    <w:rsid w:val="00DC4CC6"/>
    <w:rsid w:val="00E22918"/>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5B0B"/>
  <w15:chartTrackingRefBased/>
  <w15:docId w15:val="{A6316BE1-EA08-4F06-86C6-D76314FDE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BB"/>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6F2EBB"/>
    <w:pPr>
      <w:keepNext/>
      <w:keepLines/>
      <w:spacing w:before="360" w:after="80" w:line="259" w:lineRule="auto"/>
      <w:ind w:left="0" w:right="0" w:firstLine="0"/>
      <w:jc w:val="left"/>
      <w:outlineLvl w:val="0"/>
    </w:pPr>
    <w:rPr>
      <w:rFonts w:asciiTheme="majorHAnsi" w:eastAsiaTheme="majorEastAsia" w:hAnsiTheme="majorHAnsi" w:cstheme="majorBidi"/>
      <w:color w:val="2F5496" w:themeColor="accent1" w:themeShade="BF"/>
      <w:kern w:val="2"/>
      <w:sz w:val="40"/>
      <w:szCs w:val="40"/>
      <w:lang w:val="en-NG"/>
      <w14:ligatures w14:val="standardContextual"/>
    </w:rPr>
  </w:style>
  <w:style w:type="paragraph" w:styleId="Heading2">
    <w:name w:val="heading 2"/>
    <w:basedOn w:val="Normal"/>
    <w:next w:val="Normal"/>
    <w:link w:val="Heading2Char"/>
    <w:uiPriority w:val="9"/>
    <w:semiHidden/>
    <w:unhideWhenUsed/>
    <w:qFormat/>
    <w:rsid w:val="006F2EBB"/>
    <w:pPr>
      <w:keepNext/>
      <w:keepLines/>
      <w:spacing w:before="160" w:after="80" w:line="259" w:lineRule="auto"/>
      <w:ind w:left="0" w:right="0" w:firstLine="0"/>
      <w:jc w:val="left"/>
      <w:outlineLvl w:val="1"/>
    </w:pPr>
    <w:rPr>
      <w:rFonts w:asciiTheme="majorHAnsi" w:eastAsiaTheme="majorEastAsia" w:hAnsiTheme="majorHAnsi" w:cstheme="majorBidi"/>
      <w:color w:val="2F5496" w:themeColor="accent1" w:themeShade="BF"/>
      <w:kern w:val="2"/>
      <w:sz w:val="32"/>
      <w:szCs w:val="32"/>
      <w:lang w:val="en-NG"/>
      <w14:ligatures w14:val="standardContextual"/>
    </w:rPr>
  </w:style>
  <w:style w:type="paragraph" w:styleId="Heading3">
    <w:name w:val="heading 3"/>
    <w:basedOn w:val="Normal"/>
    <w:next w:val="Normal"/>
    <w:link w:val="Heading3Char"/>
    <w:uiPriority w:val="9"/>
    <w:semiHidden/>
    <w:unhideWhenUsed/>
    <w:qFormat/>
    <w:rsid w:val="006F2EBB"/>
    <w:pPr>
      <w:keepNext/>
      <w:keepLines/>
      <w:spacing w:before="160" w:after="80" w:line="259" w:lineRule="auto"/>
      <w:ind w:left="0" w:right="0" w:firstLine="0"/>
      <w:jc w:val="left"/>
      <w:outlineLvl w:val="2"/>
    </w:pPr>
    <w:rPr>
      <w:rFonts w:asciiTheme="minorHAnsi" w:eastAsiaTheme="majorEastAsia" w:hAnsiTheme="minorHAnsi" w:cstheme="majorBidi"/>
      <w:color w:val="2F5496" w:themeColor="accent1" w:themeShade="BF"/>
      <w:kern w:val="2"/>
      <w:sz w:val="28"/>
      <w:szCs w:val="28"/>
      <w:lang w:val="en-NG"/>
      <w14:ligatures w14:val="standardContextual"/>
    </w:rPr>
  </w:style>
  <w:style w:type="paragraph" w:styleId="Heading4">
    <w:name w:val="heading 4"/>
    <w:basedOn w:val="Normal"/>
    <w:next w:val="Normal"/>
    <w:link w:val="Heading4Char"/>
    <w:uiPriority w:val="9"/>
    <w:semiHidden/>
    <w:unhideWhenUsed/>
    <w:qFormat/>
    <w:rsid w:val="006F2EBB"/>
    <w:pPr>
      <w:keepNext/>
      <w:keepLines/>
      <w:spacing w:before="80" w:after="40" w:line="259" w:lineRule="auto"/>
      <w:ind w:left="0" w:right="0" w:firstLine="0"/>
      <w:jc w:val="left"/>
      <w:outlineLvl w:val="3"/>
    </w:pPr>
    <w:rPr>
      <w:rFonts w:asciiTheme="minorHAnsi" w:eastAsiaTheme="majorEastAsia" w:hAnsiTheme="minorHAnsi" w:cstheme="majorBidi"/>
      <w:i/>
      <w:iCs/>
      <w:color w:val="2F5496" w:themeColor="accent1" w:themeShade="BF"/>
      <w:kern w:val="2"/>
      <w:sz w:val="24"/>
      <w:szCs w:val="24"/>
      <w:lang w:val="en-NG"/>
      <w14:ligatures w14:val="standardContextual"/>
    </w:rPr>
  </w:style>
  <w:style w:type="paragraph" w:styleId="Heading5">
    <w:name w:val="heading 5"/>
    <w:basedOn w:val="Normal"/>
    <w:next w:val="Normal"/>
    <w:link w:val="Heading5Char"/>
    <w:uiPriority w:val="9"/>
    <w:semiHidden/>
    <w:unhideWhenUsed/>
    <w:qFormat/>
    <w:rsid w:val="006F2EBB"/>
    <w:pPr>
      <w:keepNext/>
      <w:keepLines/>
      <w:spacing w:before="80" w:after="40" w:line="259" w:lineRule="auto"/>
      <w:ind w:left="0" w:right="0" w:firstLine="0"/>
      <w:jc w:val="left"/>
      <w:outlineLvl w:val="4"/>
    </w:pPr>
    <w:rPr>
      <w:rFonts w:asciiTheme="minorHAnsi" w:eastAsiaTheme="majorEastAsia" w:hAnsiTheme="minorHAnsi" w:cstheme="majorBidi"/>
      <w:color w:val="2F5496" w:themeColor="accent1" w:themeShade="BF"/>
      <w:kern w:val="2"/>
      <w:sz w:val="24"/>
      <w:szCs w:val="24"/>
      <w:lang w:val="en-NG"/>
      <w14:ligatures w14:val="standardContextual"/>
    </w:rPr>
  </w:style>
  <w:style w:type="paragraph" w:styleId="Heading6">
    <w:name w:val="heading 6"/>
    <w:basedOn w:val="Normal"/>
    <w:next w:val="Normal"/>
    <w:link w:val="Heading6Char"/>
    <w:uiPriority w:val="9"/>
    <w:semiHidden/>
    <w:unhideWhenUsed/>
    <w:qFormat/>
    <w:rsid w:val="006F2EBB"/>
    <w:pPr>
      <w:keepNext/>
      <w:keepLines/>
      <w:spacing w:before="40" w:after="0" w:line="259" w:lineRule="auto"/>
      <w:ind w:left="0" w:right="0" w:firstLine="0"/>
      <w:jc w:val="left"/>
      <w:outlineLvl w:val="5"/>
    </w:pPr>
    <w:rPr>
      <w:rFonts w:asciiTheme="minorHAnsi" w:eastAsiaTheme="majorEastAsia" w:hAnsiTheme="minorHAnsi" w:cstheme="majorBidi"/>
      <w:i/>
      <w:iCs/>
      <w:color w:val="595959" w:themeColor="text1" w:themeTint="A6"/>
      <w:kern w:val="2"/>
      <w:sz w:val="24"/>
      <w:szCs w:val="24"/>
      <w:lang w:val="en-NG"/>
      <w14:ligatures w14:val="standardContextual"/>
    </w:rPr>
  </w:style>
  <w:style w:type="paragraph" w:styleId="Heading7">
    <w:name w:val="heading 7"/>
    <w:basedOn w:val="Normal"/>
    <w:next w:val="Normal"/>
    <w:link w:val="Heading7Char"/>
    <w:uiPriority w:val="9"/>
    <w:semiHidden/>
    <w:unhideWhenUsed/>
    <w:qFormat/>
    <w:rsid w:val="006F2EBB"/>
    <w:pPr>
      <w:keepNext/>
      <w:keepLines/>
      <w:spacing w:before="40" w:after="0" w:line="259" w:lineRule="auto"/>
      <w:ind w:left="0" w:right="0" w:firstLine="0"/>
      <w:jc w:val="left"/>
      <w:outlineLvl w:val="6"/>
    </w:pPr>
    <w:rPr>
      <w:rFonts w:asciiTheme="minorHAnsi" w:eastAsiaTheme="majorEastAsia" w:hAnsiTheme="minorHAnsi" w:cstheme="majorBidi"/>
      <w:color w:val="595959" w:themeColor="text1" w:themeTint="A6"/>
      <w:kern w:val="2"/>
      <w:sz w:val="24"/>
      <w:szCs w:val="24"/>
      <w:lang w:val="en-NG"/>
      <w14:ligatures w14:val="standardContextual"/>
    </w:rPr>
  </w:style>
  <w:style w:type="paragraph" w:styleId="Heading8">
    <w:name w:val="heading 8"/>
    <w:basedOn w:val="Normal"/>
    <w:next w:val="Normal"/>
    <w:link w:val="Heading8Char"/>
    <w:uiPriority w:val="9"/>
    <w:semiHidden/>
    <w:unhideWhenUsed/>
    <w:qFormat/>
    <w:rsid w:val="006F2EBB"/>
    <w:pPr>
      <w:keepNext/>
      <w:keepLines/>
      <w:spacing w:after="0" w:line="259" w:lineRule="auto"/>
      <w:ind w:left="0" w:right="0" w:firstLine="0"/>
      <w:jc w:val="left"/>
      <w:outlineLvl w:val="7"/>
    </w:pPr>
    <w:rPr>
      <w:rFonts w:asciiTheme="minorHAnsi" w:eastAsiaTheme="majorEastAsia" w:hAnsiTheme="minorHAnsi" w:cstheme="majorBidi"/>
      <w:i/>
      <w:iCs/>
      <w:color w:val="272727" w:themeColor="text1" w:themeTint="D8"/>
      <w:kern w:val="2"/>
      <w:sz w:val="24"/>
      <w:szCs w:val="24"/>
      <w:lang w:val="en-NG"/>
      <w14:ligatures w14:val="standardContextual"/>
    </w:rPr>
  </w:style>
  <w:style w:type="paragraph" w:styleId="Heading9">
    <w:name w:val="heading 9"/>
    <w:basedOn w:val="Normal"/>
    <w:next w:val="Normal"/>
    <w:link w:val="Heading9Char"/>
    <w:uiPriority w:val="9"/>
    <w:semiHidden/>
    <w:unhideWhenUsed/>
    <w:qFormat/>
    <w:rsid w:val="006F2EBB"/>
    <w:pPr>
      <w:keepNext/>
      <w:keepLines/>
      <w:spacing w:after="0" w:line="259" w:lineRule="auto"/>
      <w:ind w:left="0" w:right="0" w:firstLine="0"/>
      <w:jc w:val="left"/>
      <w:outlineLvl w:val="8"/>
    </w:pPr>
    <w:rPr>
      <w:rFonts w:asciiTheme="minorHAnsi" w:eastAsiaTheme="majorEastAsia" w:hAnsiTheme="minorHAnsi" w:cstheme="majorBidi"/>
      <w:color w:val="272727" w:themeColor="text1" w:themeTint="D8"/>
      <w:kern w:val="2"/>
      <w:sz w:val="24"/>
      <w:szCs w:val="24"/>
      <w:lang w:val="en-N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E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2E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2EB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2EB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F2EB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F2E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F2E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F2E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F2E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F2EBB"/>
    <w:pPr>
      <w:spacing w:after="80" w:line="240" w:lineRule="auto"/>
      <w:ind w:left="0" w:right="0" w:firstLine="0"/>
      <w:contextualSpacing/>
      <w:jc w:val="left"/>
    </w:pPr>
    <w:rPr>
      <w:rFonts w:asciiTheme="majorHAnsi" w:eastAsiaTheme="majorEastAsia" w:hAnsiTheme="majorHAnsi" w:cstheme="majorBidi"/>
      <w:color w:val="auto"/>
      <w:spacing w:val="-10"/>
      <w:kern w:val="28"/>
      <w:sz w:val="56"/>
      <w:szCs w:val="56"/>
      <w:lang w:val="en-NG"/>
      <w14:ligatures w14:val="standardContextual"/>
    </w:rPr>
  </w:style>
  <w:style w:type="character" w:customStyle="1" w:styleId="TitleChar">
    <w:name w:val="Title Char"/>
    <w:basedOn w:val="DefaultParagraphFont"/>
    <w:link w:val="Title"/>
    <w:uiPriority w:val="10"/>
    <w:rsid w:val="006F2E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EBB"/>
    <w:pPr>
      <w:numPr>
        <w:ilvl w:val="1"/>
      </w:numPr>
      <w:spacing w:after="160" w:line="259" w:lineRule="auto"/>
      <w:ind w:left="10" w:right="0" w:hanging="10"/>
      <w:jc w:val="left"/>
    </w:pPr>
    <w:rPr>
      <w:rFonts w:asciiTheme="minorHAnsi" w:eastAsiaTheme="majorEastAsia" w:hAnsiTheme="minorHAnsi" w:cstheme="majorBidi"/>
      <w:color w:val="595959" w:themeColor="text1" w:themeTint="A6"/>
      <w:spacing w:val="15"/>
      <w:kern w:val="2"/>
      <w:sz w:val="28"/>
      <w:szCs w:val="28"/>
      <w:lang w:val="en-NG"/>
      <w14:ligatures w14:val="standardContextual"/>
    </w:rPr>
  </w:style>
  <w:style w:type="character" w:customStyle="1" w:styleId="SubtitleChar">
    <w:name w:val="Subtitle Char"/>
    <w:basedOn w:val="DefaultParagraphFont"/>
    <w:link w:val="Subtitle"/>
    <w:uiPriority w:val="11"/>
    <w:rsid w:val="006F2E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F2EBB"/>
    <w:pPr>
      <w:spacing w:before="160" w:after="160" w:line="259" w:lineRule="auto"/>
      <w:ind w:left="0" w:right="0" w:firstLine="0"/>
      <w:jc w:val="center"/>
    </w:pPr>
    <w:rPr>
      <w:rFonts w:ascii="Futura Bk" w:eastAsiaTheme="minorHAnsi" w:hAnsi="Futura Bk" w:cstheme="minorBidi"/>
      <w:i/>
      <w:iCs/>
      <w:color w:val="404040" w:themeColor="text1" w:themeTint="BF"/>
      <w:kern w:val="2"/>
      <w:sz w:val="24"/>
      <w:szCs w:val="24"/>
      <w:lang w:val="en-NG"/>
      <w14:ligatures w14:val="standardContextual"/>
    </w:rPr>
  </w:style>
  <w:style w:type="character" w:customStyle="1" w:styleId="QuoteChar">
    <w:name w:val="Quote Char"/>
    <w:basedOn w:val="DefaultParagraphFont"/>
    <w:link w:val="Quote"/>
    <w:uiPriority w:val="29"/>
    <w:rsid w:val="006F2EBB"/>
    <w:rPr>
      <w:i/>
      <w:iCs/>
      <w:color w:val="404040" w:themeColor="text1" w:themeTint="BF"/>
    </w:rPr>
  </w:style>
  <w:style w:type="paragraph" w:styleId="ListParagraph">
    <w:name w:val="List Paragraph"/>
    <w:basedOn w:val="Normal"/>
    <w:uiPriority w:val="34"/>
    <w:qFormat/>
    <w:rsid w:val="006F2EBB"/>
    <w:pPr>
      <w:spacing w:after="160" w:line="259" w:lineRule="auto"/>
      <w:ind w:left="720" w:right="0" w:firstLine="0"/>
      <w:contextualSpacing/>
      <w:jc w:val="left"/>
    </w:pPr>
    <w:rPr>
      <w:rFonts w:ascii="Futura Bk" w:eastAsiaTheme="minorHAnsi" w:hAnsi="Futura Bk" w:cstheme="minorBidi"/>
      <w:color w:val="auto"/>
      <w:kern w:val="2"/>
      <w:sz w:val="24"/>
      <w:szCs w:val="24"/>
      <w:lang w:val="en-NG"/>
      <w14:ligatures w14:val="standardContextual"/>
    </w:rPr>
  </w:style>
  <w:style w:type="character" w:styleId="IntenseEmphasis">
    <w:name w:val="Intense Emphasis"/>
    <w:basedOn w:val="DefaultParagraphFont"/>
    <w:uiPriority w:val="21"/>
    <w:qFormat/>
    <w:rsid w:val="006F2EBB"/>
    <w:rPr>
      <w:i/>
      <w:iCs/>
      <w:color w:val="2F5496" w:themeColor="accent1" w:themeShade="BF"/>
    </w:rPr>
  </w:style>
  <w:style w:type="paragraph" w:styleId="IntenseQuote">
    <w:name w:val="Intense Quote"/>
    <w:basedOn w:val="Normal"/>
    <w:next w:val="Normal"/>
    <w:link w:val="IntenseQuoteChar"/>
    <w:uiPriority w:val="30"/>
    <w:qFormat/>
    <w:rsid w:val="006F2EBB"/>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Futura Bk" w:eastAsiaTheme="minorHAnsi" w:hAnsi="Futura Bk" w:cstheme="minorBidi"/>
      <w:i/>
      <w:iCs/>
      <w:color w:val="2F5496" w:themeColor="accent1" w:themeShade="BF"/>
      <w:kern w:val="2"/>
      <w:sz w:val="24"/>
      <w:szCs w:val="24"/>
      <w:lang w:val="en-NG"/>
      <w14:ligatures w14:val="standardContextual"/>
    </w:rPr>
  </w:style>
  <w:style w:type="character" w:customStyle="1" w:styleId="IntenseQuoteChar">
    <w:name w:val="Intense Quote Char"/>
    <w:basedOn w:val="DefaultParagraphFont"/>
    <w:link w:val="IntenseQuote"/>
    <w:uiPriority w:val="30"/>
    <w:rsid w:val="006F2EBB"/>
    <w:rPr>
      <w:i/>
      <w:iCs/>
      <w:color w:val="2F5496" w:themeColor="accent1" w:themeShade="BF"/>
    </w:rPr>
  </w:style>
  <w:style w:type="character" w:styleId="IntenseReference">
    <w:name w:val="Intense Reference"/>
    <w:basedOn w:val="DefaultParagraphFont"/>
    <w:uiPriority w:val="32"/>
    <w:qFormat/>
    <w:rsid w:val="006F2EBB"/>
    <w:rPr>
      <w:b/>
      <w:bCs/>
      <w:smallCaps/>
      <w:color w:val="2F5496" w:themeColor="accent1" w:themeShade="BF"/>
      <w:spacing w:val="5"/>
    </w:rPr>
  </w:style>
  <w:style w:type="table" w:styleId="TableGrid">
    <w:name w:val="Table Grid"/>
    <w:basedOn w:val="TableNormal"/>
    <w:uiPriority w:val="59"/>
    <w:rsid w:val="006F2EBB"/>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90AF3BE5-A10B-46D2-9CD4-63687EC39F2A}"/>
</file>

<file path=customXml/itemProps2.xml><?xml version="1.0" encoding="utf-8"?>
<ds:datastoreItem xmlns:ds="http://schemas.openxmlformats.org/officeDocument/2006/customXml" ds:itemID="{C53348A6-C0BC-43A1-ACF4-FE97021DCFE6}"/>
</file>

<file path=customXml/itemProps3.xml><?xml version="1.0" encoding="utf-8"?>
<ds:datastoreItem xmlns:ds="http://schemas.openxmlformats.org/officeDocument/2006/customXml" ds:itemID="{1EC4CC8C-5BC1-48F2-AB4F-9EAD44840837}"/>
</file>

<file path=docProps/app.xml><?xml version="1.0" encoding="utf-8"?>
<Properties xmlns="http://schemas.openxmlformats.org/officeDocument/2006/extended-properties" xmlns:vt="http://schemas.openxmlformats.org/officeDocument/2006/docPropsVTypes">
  <Template>Normal</Template>
  <TotalTime>44</TotalTime>
  <Pages>18</Pages>
  <Words>3980</Words>
  <Characters>22687</Characters>
  <Application>Microsoft Office Word</Application>
  <DocSecurity>0</DocSecurity>
  <Lines>189</Lines>
  <Paragraphs>53</Paragraphs>
  <ScaleCrop>false</ScaleCrop>
  <Company/>
  <LinksUpToDate>false</LinksUpToDate>
  <CharactersWithSpaces>26614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19</cp:revision>
  <dcterms:created xsi:type="dcterms:W3CDTF">2026-04-09T16:17:00Z</dcterms:created>
  <dcterms:modified xsi:type="dcterms:W3CDTF">2026-04-09T18:22:00Z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5a113ccb-2b6e-4437-b888-ef9d20eba9a5</vt:lpwstr>
  </property>
  <property fmtid="{D5CDD505-2E9C-101B-9397-08002B2CF9AE}" pid="3" name="ContentTypeId">
    <vt:lpwstr>0x010100F833077A2F4D8E4EA2073FA26FEA0386</vt:lpwstr>
  </property>
</Properties>
</file>